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6A" w:rsidRDefault="00F4336A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F4336A" w:rsidRDefault="00F4336A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F4336A" w:rsidRDefault="00F4336A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F4336A" w:rsidRPr="00F4336A" w:rsidRDefault="00F4336A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bCs/>
          <w:i/>
          <w:sz w:val="144"/>
          <w:szCs w:val="144"/>
          <w:lang w:eastAsia="de-AT"/>
        </w:rPr>
      </w:pPr>
      <w:r w:rsidRPr="00F4336A">
        <w:rPr>
          <w:rFonts w:ascii="Arabic Typesetting" w:eastAsia="Times New Roman" w:hAnsi="Arabic Typesetting" w:cs="Arabic Typesetting"/>
          <w:bCs/>
          <w:i/>
          <w:sz w:val="144"/>
          <w:szCs w:val="144"/>
          <w:lang w:eastAsia="de-AT"/>
        </w:rPr>
        <w:t>Diskussionsplattform Ukraine</w:t>
      </w:r>
    </w:p>
    <w:p w:rsidR="00F4336A" w:rsidRDefault="00F4336A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F4336A" w:rsidRDefault="00F4336A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F4336A" w:rsidRDefault="00F4336A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8B63EB" w:rsidRPr="008B63EB" w:rsidRDefault="008B63EB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  <w:t>A) Forderungen, gerichtet an die Kiewer Regierung:</w:t>
      </w:r>
    </w:p>
    <w:p w:rsidR="008B63EB" w:rsidRPr="008B63EB" w:rsidRDefault="008B63EB" w:rsidP="008B63EB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8B63EB" w:rsidRPr="00AB0AED" w:rsidRDefault="00664292" w:rsidP="00F4336A">
      <w:pPr>
        <w:pStyle w:val="Listenabsatz"/>
        <w:numPr>
          <w:ilvl w:val="0"/>
          <w:numId w:val="8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AB0AED">
        <w:rPr>
          <w:rFonts w:ascii="Arabic Typesetting" w:hAnsi="Arabic Typesetting" w:cs="Arabic Typesetting"/>
          <w:sz w:val="28"/>
          <w:szCs w:val="28"/>
        </w:rPr>
        <w:t>Verbot aller</w:t>
      </w:r>
      <w:r w:rsidR="00751B2C" w:rsidRPr="00AB0AED">
        <w:rPr>
          <w:rFonts w:ascii="Arabic Typesetting" w:hAnsi="Arabic Typesetting" w:cs="Arabic Typesetting"/>
          <w:sz w:val="28"/>
          <w:szCs w:val="28"/>
        </w:rPr>
        <w:t xml:space="preserve"> eindeutig sich auf faschistisch/nationalsozialistische Traditionen beziehenden Organisationen, d. h. aller Komponenten des Rechten Sektors</w:t>
      </w:r>
      <w:r w:rsidRPr="00AB0AED">
        <w:rPr>
          <w:rFonts w:ascii="Arabic Typesetting" w:hAnsi="Arabic Typesetting" w:cs="Arabic Typesetting"/>
          <w:sz w:val="28"/>
          <w:szCs w:val="28"/>
        </w:rPr>
        <w:t xml:space="preserve">. </w:t>
      </w:r>
      <w:r w:rsidR="00985A9D">
        <w:rPr>
          <w:rFonts w:ascii="Arabic Typesetting" w:hAnsi="Arabic Typesetting" w:cs="Arabic Typesetting"/>
          <w:sz w:val="28"/>
          <w:szCs w:val="28"/>
        </w:rPr>
        <w:t>Ebenso</w:t>
      </w:r>
      <w:r w:rsidRPr="00AB0AED">
        <w:rPr>
          <w:rFonts w:ascii="Arabic Typesetting" w:hAnsi="Arabic Typesetting" w:cs="Arabic Typesetting"/>
          <w:sz w:val="28"/>
          <w:szCs w:val="28"/>
        </w:rPr>
        <w:t xml:space="preserve"> ist die eng mit den heutigen nationalsozialistischen Organisationen kooperierende und vom Nationalsozialismus herstammende Svoboda mit ihren expliziten antisemitischen </w:t>
      </w:r>
      <w:proofErr w:type="spellStart"/>
      <w:r w:rsidRPr="00AB0AED">
        <w:rPr>
          <w:rFonts w:ascii="Arabic Typesetting" w:hAnsi="Arabic Typesetting" w:cs="Arabic Typesetting"/>
          <w:sz w:val="28"/>
          <w:szCs w:val="28"/>
        </w:rPr>
        <w:t>Haßtiraden</w:t>
      </w:r>
      <w:proofErr w:type="spellEnd"/>
      <w:r w:rsidRPr="00AB0AED">
        <w:rPr>
          <w:rFonts w:ascii="Arabic Typesetting" w:hAnsi="Arabic Typesetting" w:cs="Arabic Typesetting"/>
          <w:sz w:val="28"/>
          <w:szCs w:val="28"/>
        </w:rPr>
        <w:t xml:space="preserve">, was die Akzeptanz betrifft, den reinen Naziorganisationen der Ukraine gleichzusetzen und </w:t>
      </w:r>
      <w:proofErr w:type="spellStart"/>
      <w:r w:rsidRPr="00AB0AED">
        <w:rPr>
          <w:rFonts w:ascii="Arabic Typesetting" w:hAnsi="Arabic Typesetting" w:cs="Arabic Typesetting"/>
          <w:sz w:val="28"/>
          <w:szCs w:val="28"/>
        </w:rPr>
        <w:t>muß</w:t>
      </w:r>
      <w:proofErr w:type="spellEnd"/>
      <w:r w:rsidRPr="00AB0AED">
        <w:rPr>
          <w:rFonts w:ascii="Arabic Typesetting" w:hAnsi="Arabic Typesetting" w:cs="Arabic Typesetting"/>
          <w:sz w:val="28"/>
          <w:szCs w:val="28"/>
        </w:rPr>
        <w:t xml:space="preserve"> ebenfalls verboten werden. </w:t>
      </w:r>
      <w:r w:rsidR="00751B2C" w:rsidRPr="00AB0AED">
        <w:rPr>
          <w:rFonts w:ascii="Arabic Typesetting" w:hAnsi="Arabic Typesetting" w:cs="Arabic Typesetting"/>
          <w:sz w:val="28"/>
          <w:szCs w:val="28"/>
        </w:rPr>
        <w:t xml:space="preserve">Auflösung der </w:t>
      </w:r>
      <w:r w:rsidRPr="00AB0AED">
        <w:rPr>
          <w:rFonts w:ascii="Arabic Typesetting" w:hAnsi="Arabic Typesetting" w:cs="Arabic Typesetting"/>
          <w:sz w:val="28"/>
          <w:szCs w:val="28"/>
        </w:rPr>
        <w:t xml:space="preserve">mit den </w:t>
      </w:r>
      <w:r w:rsidR="00AB5EA5" w:rsidRPr="00AB0AED">
        <w:rPr>
          <w:rFonts w:ascii="Arabic Typesetting" w:hAnsi="Arabic Typesetting" w:cs="Arabic Typesetting"/>
          <w:sz w:val="28"/>
          <w:szCs w:val="28"/>
        </w:rPr>
        <w:t>rechtsextremen und nazist</w:t>
      </w:r>
      <w:r w:rsidRPr="00AB0AED">
        <w:rPr>
          <w:rFonts w:ascii="Arabic Typesetting" w:hAnsi="Arabic Typesetting" w:cs="Arabic Typesetting"/>
          <w:sz w:val="28"/>
          <w:szCs w:val="28"/>
        </w:rPr>
        <w:t>i</w:t>
      </w:r>
      <w:r w:rsidR="00AB5EA5" w:rsidRPr="00AB0AED">
        <w:rPr>
          <w:rFonts w:ascii="Arabic Typesetting" w:hAnsi="Arabic Typesetting" w:cs="Arabic Typesetting"/>
          <w:sz w:val="28"/>
          <w:szCs w:val="28"/>
        </w:rPr>
        <w:t>s</w:t>
      </w:r>
      <w:r w:rsidR="005E2605">
        <w:rPr>
          <w:rFonts w:ascii="Arabic Typesetting" w:hAnsi="Arabic Typesetting" w:cs="Arabic Typesetting"/>
          <w:sz w:val="28"/>
          <w:szCs w:val="28"/>
        </w:rPr>
        <w:t>chen Selbstverteidigungsk</w:t>
      </w:r>
      <w:r w:rsidRPr="00AB0AED">
        <w:rPr>
          <w:rFonts w:ascii="Arabic Typesetting" w:hAnsi="Arabic Typesetting" w:cs="Arabic Typesetting"/>
          <w:sz w:val="28"/>
          <w:szCs w:val="28"/>
        </w:rPr>
        <w:t xml:space="preserve">räften des </w:t>
      </w:r>
      <w:proofErr w:type="spellStart"/>
      <w:r w:rsidRPr="00AB0AED">
        <w:rPr>
          <w:rFonts w:ascii="Arabic Typesetting" w:hAnsi="Arabic Typesetting" w:cs="Arabic Typesetting"/>
          <w:sz w:val="28"/>
          <w:szCs w:val="28"/>
        </w:rPr>
        <w:t>Maidan</w:t>
      </w:r>
      <w:proofErr w:type="spellEnd"/>
      <w:r w:rsidRPr="00AB0AED">
        <w:rPr>
          <w:rFonts w:ascii="Arabic Typesetting" w:hAnsi="Arabic Typesetting" w:cs="Arabic Typesetting"/>
          <w:sz w:val="28"/>
          <w:szCs w:val="28"/>
        </w:rPr>
        <w:t xml:space="preserve"> bestückten </w:t>
      </w:r>
      <w:r w:rsidR="00AB5EA5" w:rsidRPr="00AB0AED">
        <w:rPr>
          <w:rFonts w:ascii="Arabic Typesetting" w:hAnsi="Arabic Typesetting" w:cs="Arabic Typesetting"/>
          <w:sz w:val="28"/>
          <w:szCs w:val="28"/>
        </w:rPr>
        <w:t>Nationalg</w:t>
      </w:r>
      <w:r w:rsidR="00751B2C" w:rsidRPr="00AB0AED">
        <w:rPr>
          <w:rFonts w:ascii="Arabic Typesetting" w:hAnsi="Arabic Typesetting" w:cs="Arabic Typesetting"/>
          <w:sz w:val="28"/>
          <w:szCs w:val="28"/>
        </w:rPr>
        <w:t>arde</w:t>
      </w:r>
      <w:r w:rsidR="00AB5EA5" w:rsidRPr="00AB0AED">
        <w:rPr>
          <w:rFonts w:ascii="Arabic Typesetting" w:hAnsi="Arabic Typesetting" w:cs="Arabic Typesetting"/>
          <w:sz w:val="28"/>
          <w:szCs w:val="28"/>
        </w:rPr>
        <w:t>.</w:t>
      </w:r>
    </w:p>
    <w:p w:rsidR="008B63EB" w:rsidRPr="008B63EB" w:rsidRDefault="008B63EB" w:rsidP="00F4336A">
      <w:pPr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8B63EB" w:rsidRPr="008B63EB" w:rsidRDefault="008B63EB" w:rsidP="00F4336A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Einstellung aller Kriegshandlungen</w:t>
      </w:r>
      <w:r w:rsidR="00664292"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 seitens der ukrainischen Regierung</w:t>
      </w: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. </w:t>
      </w:r>
      <w:r w:rsidR="00AB5EA5"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Entfernung</w:t>
      </w: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 aller Söldner.</w:t>
      </w:r>
    </w:p>
    <w:p w:rsidR="008B63EB" w:rsidRPr="008B63EB" w:rsidRDefault="008B63EB" w:rsidP="00F4336A">
      <w:pPr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8B63EB" w:rsidRPr="008B63EB" w:rsidRDefault="008B63EB" w:rsidP="00F4336A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Kein Beitritt zu NATO und EU.</w:t>
      </w:r>
    </w:p>
    <w:p w:rsidR="008B63EB" w:rsidRPr="008B63EB" w:rsidRDefault="008B63EB" w:rsidP="00F4336A">
      <w:pPr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8B63EB" w:rsidRPr="008B63EB" w:rsidRDefault="008B63EB" w:rsidP="00F4336A">
      <w:pPr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8B63EB" w:rsidRPr="008B63EB" w:rsidRDefault="008B63EB" w:rsidP="00F4336A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Die Oligarchen sind die eigentlichen Verursacher des Kriegs. Die Entstehung ihres Vermögens </w:t>
      </w:r>
      <w:proofErr w:type="spellStart"/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muß</w:t>
      </w:r>
      <w:proofErr w:type="spellEnd"/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 rechtlich aufgearbeitet werden.</w:t>
      </w:r>
    </w:p>
    <w:p w:rsidR="008B63EB" w:rsidRPr="008B63EB" w:rsidRDefault="008B63EB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8B63EB" w:rsidRPr="008B63EB" w:rsidRDefault="008B63EB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8B63EB" w:rsidRPr="008B63EB" w:rsidRDefault="008B63EB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F4336A" w:rsidRDefault="00F4336A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F4336A" w:rsidRDefault="00F4336A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8B63EB" w:rsidRPr="008B63EB" w:rsidRDefault="008B63EB" w:rsidP="008B63EB">
      <w:pPr>
        <w:spacing w:after="0" w:line="240" w:lineRule="auto"/>
        <w:jc w:val="center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  <w:lastRenderedPageBreak/>
        <w:t>B) Forderungen, gerichtet an die europäische/US-Öffentlichkeit:</w:t>
      </w:r>
    </w:p>
    <w:p w:rsidR="008B63EB" w:rsidRPr="008B63EB" w:rsidRDefault="008B63EB" w:rsidP="008B63EB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AB5EA5" w:rsidRPr="00AB0AED" w:rsidRDefault="00AB5EA5" w:rsidP="00F4336A">
      <w:pPr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</w:p>
    <w:p w:rsidR="008B63EB" w:rsidRPr="008B63EB" w:rsidRDefault="008B63EB" w:rsidP="00F4336A">
      <w:pPr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5. Die einseitige Schuldzuweisung an „</w:t>
      </w:r>
      <w:proofErr w:type="spellStart"/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Rußland</w:t>
      </w:r>
      <w:proofErr w:type="spellEnd"/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“, bzw. „prorussische Kräfte“ ist eine </w:t>
      </w:r>
      <w:proofErr w:type="spellStart"/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bewußte</w:t>
      </w:r>
      <w:proofErr w:type="spellEnd"/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 </w:t>
      </w:r>
      <w:proofErr w:type="spellStart"/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Desinformationstrategie</w:t>
      </w:r>
      <w:proofErr w:type="spellEnd"/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.  Im Südosten finden sich Föderalisten, Sezessionisten ohne Forderungen nach Annexion, Sezessionisten mit Forderung nach Annexion, Söldner, Antifaschisten, Linke, Marxisten. </w:t>
      </w:r>
      <w:r w:rsidR="00664292"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Einstellung</w:t>
      </w: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 der undifferenzierten Hetzkampagne.</w:t>
      </w:r>
    </w:p>
    <w:p w:rsidR="00AB5EA5" w:rsidRPr="00AB0AED" w:rsidRDefault="008B63EB" w:rsidP="00F4336A">
      <w:pPr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8B63EB" w:rsidRPr="00AB0AED" w:rsidRDefault="00AB5EA5" w:rsidP="00F4336A">
      <w:pPr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6. </w:t>
      </w:r>
      <w:r w:rsidR="008B63EB"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Sofortige Rücknahme der Vorgaben des IWF. Dessen Politik zielt auf eine Massenverarmung nach griechischem Muster.</w:t>
      </w:r>
    </w:p>
    <w:p w:rsidR="008B63EB" w:rsidRPr="008B63EB" w:rsidRDefault="008B63EB" w:rsidP="00AB5EA5">
      <w:pPr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AB5EA5" w:rsidRPr="00AB0AED" w:rsidRDefault="00AB5EA5" w:rsidP="00AB5EA5">
      <w:pPr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AB5EA5" w:rsidRPr="00AB0AED" w:rsidRDefault="00AB5EA5" w:rsidP="00AB5EA5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F4336A" w:rsidRDefault="00F4336A" w:rsidP="00AB5EA5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F4336A" w:rsidRDefault="00F4336A" w:rsidP="00AB5EA5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</w:pPr>
    </w:p>
    <w:p w:rsidR="008B63EB" w:rsidRPr="008B63EB" w:rsidRDefault="008B63EB" w:rsidP="00AB5EA5">
      <w:pPr>
        <w:spacing w:after="0" w:line="240" w:lineRule="auto"/>
        <w:jc w:val="center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  <w:t>C) Kritik an der Rolle Österreichs</w:t>
      </w:r>
    </w:p>
    <w:p w:rsidR="008B63EB" w:rsidRPr="008B63EB" w:rsidRDefault="008B63EB" w:rsidP="00AB5EA5">
      <w:pPr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8B63EB" w:rsidRPr="008B63EB" w:rsidRDefault="008B63EB" w:rsidP="00AB5EA5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Die Wiener Konferenz war eine einzige Wichtigtuerei unter der platten und strategiearmen Führung des österreichischen Außenministers. Die Betroffenen hatten dort keine Lobby. Von Österreich aus gab´s nur ein unverbindliches Hofieren der </w:t>
      </w:r>
      <w:r w:rsidRPr="008B63EB">
        <w:rPr>
          <w:rFonts w:ascii="Arabic Typesetting" w:eastAsia="Times New Roman" w:hAnsi="Arabic Typesetting" w:cs="Arabic Typesetting"/>
          <w:i/>
          <w:iCs/>
          <w:sz w:val="28"/>
          <w:szCs w:val="28"/>
          <w:lang w:eastAsia="de-AT"/>
        </w:rPr>
        <w:t xml:space="preserve">global </w:t>
      </w:r>
      <w:proofErr w:type="spellStart"/>
      <w:r w:rsidRPr="008B63EB">
        <w:rPr>
          <w:rFonts w:ascii="Arabic Typesetting" w:eastAsia="Times New Roman" w:hAnsi="Arabic Typesetting" w:cs="Arabic Typesetting"/>
          <w:i/>
          <w:iCs/>
          <w:sz w:val="28"/>
          <w:szCs w:val="28"/>
          <w:lang w:eastAsia="de-AT"/>
        </w:rPr>
        <w:t>players</w:t>
      </w:r>
      <w:proofErr w:type="spellEnd"/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.</w:t>
      </w:r>
    </w:p>
    <w:p w:rsidR="008B63EB" w:rsidRPr="008B63EB" w:rsidRDefault="008B63EB" w:rsidP="00AB5EA5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8B63EB" w:rsidRPr="008B63EB" w:rsidRDefault="008B63EB" w:rsidP="00AB5EA5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Selbstbestimmte Referenden </w:t>
      </w:r>
      <w:r w:rsidR="00AB5EA5"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waren und </w:t>
      </w: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sind in jedem Fall abzuhalten, wenn es die Betroffenen für nötig erachten. Ein österreichischer Außenminister hat hier nichts mitzureden.</w:t>
      </w:r>
    </w:p>
    <w:p w:rsidR="00AB5EA5" w:rsidRPr="00AB0AED" w:rsidRDefault="008B63EB" w:rsidP="00AB5EA5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AB5EA5" w:rsidRPr="00AB0AED" w:rsidRDefault="00AB5EA5" w:rsidP="00AB5EA5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</w:p>
    <w:p w:rsidR="008B63EB" w:rsidRPr="008B63EB" w:rsidRDefault="008B63EB" w:rsidP="00AB5EA5">
      <w:pPr>
        <w:spacing w:after="0" w:line="240" w:lineRule="auto"/>
        <w:jc w:val="center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  <w:t xml:space="preserve">D) Kritik der Rolle </w:t>
      </w:r>
      <w:proofErr w:type="spellStart"/>
      <w:r w:rsidRPr="008B63EB">
        <w:rPr>
          <w:rFonts w:ascii="Arabic Typesetting" w:eastAsia="Times New Roman" w:hAnsi="Arabic Typesetting" w:cs="Arabic Typesetting"/>
          <w:b/>
          <w:bCs/>
          <w:sz w:val="28"/>
          <w:szCs w:val="28"/>
          <w:lang w:eastAsia="de-AT"/>
        </w:rPr>
        <w:t>Poroschenkos</w:t>
      </w:r>
      <w:proofErr w:type="spellEnd"/>
    </w:p>
    <w:p w:rsidR="008B63EB" w:rsidRPr="008B63EB" w:rsidRDefault="008B63EB" w:rsidP="00AB5EA5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AB5EA5" w:rsidRPr="00AB0AED" w:rsidRDefault="008B63EB" w:rsidP="00AB5EA5">
      <w:pPr>
        <w:pStyle w:val="Listenabsatz"/>
        <w:numPr>
          <w:ilvl w:val="0"/>
          <w:numId w:val="7"/>
        </w:num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Die Kür </w:t>
      </w:r>
      <w:proofErr w:type="spellStart"/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Poroschenkos</w:t>
      </w:r>
      <w:proofErr w:type="spellEnd"/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 ging aus der </w:t>
      </w:r>
      <w:r w:rsidR="00AB5EA5"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durch Gewalt und Druck bewirkten </w:t>
      </w:r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Eli</w:t>
      </w:r>
      <w:r w:rsidR="00AB5EA5"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minierung der Linken hervor</w:t>
      </w:r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.  Ein Oligarch an der Spitze  des Staates bedeutet zudem die extremste Form </w:t>
      </w:r>
      <w:r w:rsidR="00AB5EA5"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von </w:t>
      </w:r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Herrs</w:t>
      </w:r>
      <w:r w:rsidR="00AB5EA5"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chaftssicherung neoliberaler</w:t>
      </w:r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 Politik, bedeute</w:t>
      </w:r>
      <w:r w:rsidR="00AB5EA5"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t die totale Privatisierung von </w:t>
      </w:r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Politik.  Eine  künftige Regierung unter solch einer Führung ist nichts als ein Kunstgebilde.</w:t>
      </w:r>
    </w:p>
    <w:p w:rsidR="00AB5EA5" w:rsidRPr="00AB0AED" w:rsidRDefault="00AB5EA5" w:rsidP="00AB5EA5">
      <w:pPr>
        <w:pStyle w:val="Listenabsatz"/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</w:p>
    <w:p w:rsidR="008B63EB" w:rsidRPr="00AB0AED" w:rsidRDefault="008B63EB" w:rsidP="00AB5EA5">
      <w:pPr>
        <w:pStyle w:val="Listenabsatz"/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Der Krieg gegen den Osten unter </w:t>
      </w:r>
      <w:proofErr w:type="spellStart"/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Poroschenko</w:t>
      </w:r>
      <w:proofErr w:type="spellEnd"/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 ist die Fortsetzung der Sturmtruppenpolitik der Putschregierung auf  höherer Ebene.</w:t>
      </w:r>
    </w:p>
    <w:p w:rsidR="008B63EB" w:rsidRPr="008B63EB" w:rsidRDefault="008B63EB" w:rsidP="008B63EB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 </w:t>
      </w:r>
    </w:p>
    <w:p w:rsidR="000466AA" w:rsidRPr="007E5BE9" w:rsidRDefault="008B63EB" w:rsidP="000466AA"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Wir lehnen diesen Staatspräsidenten und dessen Regierung daher aus guten Gründen ab: Der </w:t>
      </w:r>
      <w:proofErr w:type="spellStart"/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Prozeß</w:t>
      </w:r>
      <w:proofErr w:type="spellEnd"/>
      <w:r w:rsidRPr="008B63EB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, der dahin führte, hat mit formaler bürgerlicher Demokratie wenig zu tun. Das hat schon die gewaltsame </w:t>
      </w:r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Absetzung </w:t>
      </w:r>
      <w:proofErr w:type="spellStart"/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>Janukowitschs</w:t>
      </w:r>
      <w:proofErr w:type="spellEnd"/>
      <w:r w:rsidRPr="00AB0AED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 gezeigt, bei der alle Regeln, die von der Verfassung vorgeschrieben werden, übergangen wurden.</w:t>
      </w:r>
      <w:r w:rsidR="00751B2C" w:rsidRPr="000466AA">
        <w:rPr>
          <w:rFonts w:ascii="Arabic Typesetting" w:eastAsia="Times New Roman" w:hAnsi="Arabic Typesetting" w:cs="Arabic Typesetting"/>
          <w:sz w:val="28"/>
          <w:szCs w:val="28"/>
          <w:lang w:eastAsia="de-AT"/>
        </w:rPr>
        <w:t xml:space="preserve"> </w:t>
      </w:r>
      <w:r w:rsidR="000466AA" w:rsidRPr="000466AA">
        <w:rPr>
          <w:rFonts w:ascii="Arabic Typesetting" w:hAnsi="Arabic Typesetting" w:cs="Arabic Typesetting"/>
          <w:sz w:val="28"/>
          <w:szCs w:val="28"/>
        </w:rPr>
        <w:t xml:space="preserve">Die durch das Votum zweifellos konsolidierte Position des neuen Volkstribunen </w:t>
      </w:r>
      <w:proofErr w:type="spellStart"/>
      <w:r w:rsidR="000466AA" w:rsidRPr="000466AA">
        <w:rPr>
          <w:rFonts w:ascii="Arabic Typesetting" w:hAnsi="Arabic Typesetting" w:cs="Arabic Typesetting"/>
          <w:sz w:val="28"/>
          <w:szCs w:val="28"/>
        </w:rPr>
        <w:t>Poroschenko</w:t>
      </w:r>
      <w:proofErr w:type="spellEnd"/>
      <w:r w:rsidR="000466AA" w:rsidRPr="000466AA">
        <w:rPr>
          <w:rFonts w:ascii="Arabic Typesetting" w:hAnsi="Arabic Typesetting" w:cs="Arabic Typesetting"/>
          <w:sz w:val="28"/>
          <w:szCs w:val="28"/>
        </w:rPr>
        <w:t xml:space="preserve"> beruht auf einer durch Faschismus und Putsch  geprägten Vorgeschichte.</w:t>
      </w:r>
    </w:p>
    <w:p w:rsidR="008B63EB" w:rsidRPr="008B63EB" w:rsidRDefault="008B63EB" w:rsidP="00AB5EA5">
      <w:pPr>
        <w:spacing w:after="75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lang w:eastAsia="de-AT"/>
        </w:rPr>
      </w:pPr>
    </w:p>
    <w:p w:rsidR="00A31EAA" w:rsidRPr="00AB0AED" w:rsidRDefault="00A31EAA">
      <w:pPr>
        <w:rPr>
          <w:sz w:val="28"/>
          <w:szCs w:val="28"/>
        </w:rPr>
      </w:pPr>
      <w:bookmarkStart w:id="0" w:name="_GoBack"/>
      <w:bookmarkEnd w:id="0"/>
    </w:p>
    <w:sectPr w:rsidR="00A31EAA" w:rsidRPr="00AB0A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E44"/>
    <w:multiLevelType w:val="multilevel"/>
    <w:tmpl w:val="E2CC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8250D"/>
    <w:multiLevelType w:val="multilevel"/>
    <w:tmpl w:val="444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456D0"/>
    <w:multiLevelType w:val="hybridMultilevel"/>
    <w:tmpl w:val="3BC69F80"/>
    <w:lvl w:ilvl="0" w:tplc="A7B0A7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381C"/>
    <w:multiLevelType w:val="multilevel"/>
    <w:tmpl w:val="A276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619E1"/>
    <w:multiLevelType w:val="multilevel"/>
    <w:tmpl w:val="2B7E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F1534"/>
    <w:multiLevelType w:val="multilevel"/>
    <w:tmpl w:val="25D4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16B1E"/>
    <w:multiLevelType w:val="hybridMultilevel"/>
    <w:tmpl w:val="4D729AA2"/>
    <w:lvl w:ilvl="0" w:tplc="0C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F01C7"/>
    <w:multiLevelType w:val="multilevel"/>
    <w:tmpl w:val="D9F4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57A4D"/>
    <w:multiLevelType w:val="multilevel"/>
    <w:tmpl w:val="5C4C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4"/>
    <w:lvlOverride w:ilvl="0">
      <w:startOverride w:val="6"/>
    </w:lvlOverride>
  </w:num>
  <w:num w:numId="6">
    <w:abstractNumId w:val="0"/>
    <w:lvlOverride w:ilvl="0">
      <w:startOverride w:val="7"/>
    </w:lvlOverride>
  </w:num>
  <w:num w:numId="7">
    <w:abstractNumId w:val="5"/>
    <w:lvlOverride w:ilvl="0">
      <w:startOverride w:val="8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EB"/>
    <w:rsid w:val="000466AA"/>
    <w:rsid w:val="001641C0"/>
    <w:rsid w:val="002303A8"/>
    <w:rsid w:val="005E2605"/>
    <w:rsid w:val="0063326A"/>
    <w:rsid w:val="00664292"/>
    <w:rsid w:val="00751B2C"/>
    <w:rsid w:val="008B63EB"/>
    <w:rsid w:val="00985A9D"/>
    <w:rsid w:val="00A31EAA"/>
    <w:rsid w:val="00AB0AED"/>
    <w:rsid w:val="00AB5EA5"/>
    <w:rsid w:val="00E14EA1"/>
    <w:rsid w:val="00F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40823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165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0873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8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2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7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677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17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11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8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8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Lesesaal</dc:creator>
  <cp:lastModifiedBy>Alexander Muth</cp:lastModifiedBy>
  <cp:revision>2</cp:revision>
  <cp:lastPrinted>2014-06-03T16:35:00Z</cp:lastPrinted>
  <dcterms:created xsi:type="dcterms:W3CDTF">2014-06-10T14:23:00Z</dcterms:created>
  <dcterms:modified xsi:type="dcterms:W3CDTF">2014-06-10T14:23:00Z</dcterms:modified>
</cp:coreProperties>
</file>