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C3A" w:rsidRPr="00BF6C3A" w:rsidRDefault="00BF6C3A" w:rsidP="00BF6C3A">
      <w:pPr>
        <w:pStyle w:val="PlainText"/>
        <w:rPr>
          <w:rFonts w:eastAsiaTheme="minorEastAsia"/>
          <w:sz w:val="24"/>
          <w:szCs w:val="24"/>
        </w:rPr>
      </w:pPr>
      <w:r w:rsidRPr="00BF6C3A">
        <w:rPr>
          <w:rFonts w:eastAsiaTheme="minorEastAsia"/>
          <w:sz w:val="24"/>
          <w:szCs w:val="24"/>
        </w:rPr>
        <w:t>NO MORE DEREGULATION AND SURRENDERING SERVICES TO CORPORATE INTERESTS!</w:t>
      </w:r>
    </w:p>
    <w:p w:rsidR="00BF6C3A" w:rsidRPr="00BF6C3A" w:rsidRDefault="00BF6C3A" w:rsidP="00BF6C3A">
      <w:pPr>
        <w:pStyle w:val="PlainText"/>
        <w:rPr>
          <w:rFonts w:eastAsiaTheme="minorEastAsia"/>
          <w:sz w:val="24"/>
          <w:szCs w:val="24"/>
        </w:rPr>
      </w:pPr>
    </w:p>
    <w:p w:rsidR="00BF6C3A" w:rsidRPr="00BF6C3A" w:rsidRDefault="00BF6C3A" w:rsidP="00BF6C3A">
      <w:pPr>
        <w:pStyle w:val="PlainText"/>
        <w:rPr>
          <w:rFonts w:eastAsiaTheme="minorEastAsia"/>
          <w:sz w:val="24"/>
          <w:szCs w:val="24"/>
        </w:rPr>
      </w:pPr>
      <w:r w:rsidRPr="00BF6C3A">
        <w:rPr>
          <w:rFonts w:eastAsiaTheme="minorEastAsia"/>
          <w:sz w:val="24"/>
          <w:szCs w:val="24"/>
        </w:rPr>
        <w:t>August 2013</w:t>
      </w:r>
    </w:p>
    <w:p w:rsidR="00BF6C3A" w:rsidRPr="00BF6C3A" w:rsidRDefault="00BF6C3A" w:rsidP="00BF6C3A">
      <w:pPr>
        <w:pStyle w:val="PlainText"/>
        <w:rPr>
          <w:rFonts w:eastAsiaTheme="minorEastAsia"/>
          <w:sz w:val="24"/>
          <w:szCs w:val="24"/>
        </w:rPr>
      </w:pPr>
    </w:p>
    <w:p w:rsidR="00BF6C3A" w:rsidRPr="00BF6C3A" w:rsidRDefault="00BF6C3A" w:rsidP="00BF6C3A">
      <w:pPr>
        <w:pStyle w:val="PlainText"/>
        <w:rPr>
          <w:rFonts w:eastAsiaTheme="minorEastAsia"/>
          <w:sz w:val="24"/>
          <w:szCs w:val="24"/>
        </w:rPr>
      </w:pPr>
      <w:r w:rsidRPr="00BF6C3A">
        <w:rPr>
          <w:rFonts w:eastAsiaTheme="minorEastAsia"/>
          <w:sz w:val="24"/>
          <w:szCs w:val="24"/>
        </w:rPr>
        <w:t xml:space="preserve">Dear Trade Ministers, </w:t>
      </w:r>
    </w:p>
    <w:p w:rsidR="00BF6C3A" w:rsidRPr="00BF6C3A" w:rsidRDefault="00BF6C3A" w:rsidP="00BF6C3A">
      <w:pPr>
        <w:pStyle w:val="PlainText"/>
        <w:rPr>
          <w:rFonts w:eastAsiaTheme="minorEastAsia"/>
          <w:sz w:val="24"/>
          <w:szCs w:val="24"/>
        </w:rPr>
      </w:pPr>
    </w:p>
    <w:p w:rsidR="00BF6C3A" w:rsidRPr="00BF6C3A" w:rsidRDefault="00BF6C3A" w:rsidP="00BF6C3A">
      <w:pPr>
        <w:pStyle w:val="PlainText"/>
        <w:rPr>
          <w:rFonts w:eastAsiaTheme="minorEastAsia"/>
          <w:sz w:val="24"/>
          <w:szCs w:val="24"/>
        </w:rPr>
      </w:pPr>
      <w:r w:rsidRPr="00BF6C3A">
        <w:rPr>
          <w:rFonts w:eastAsiaTheme="minorEastAsia"/>
          <w:sz w:val="24"/>
          <w:szCs w:val="24"/>
        </w:rPr>
        <w:t xml:space="preserve">We, the undersigned civil society organizations, representing hundreds of millions of members across the globe, are writing to express our strong opposition to the negotiations towards a proposed far-reaching </w:t>
      </w:r>
      <w:proofErr w:type="spellStart"/>
      <w:r w:rsidRPr="00BF6C3A">
        <w:rPr>
          <w:rFonts w:eastAsiaTheme="minorEastAsia"/>
          <w:sz w:val="24"/>
          <w:szCs w:val="24"/>
        </w:rPr>
        <w:t>plurilateral</w:t>
      </w:r>
      <w:proofErr w:type="spellEnd"/>
      <w:r w:rsidRPr="00BF6C3A">
        <w:rPr>
          <w:rFonts w:eastAsiaTheme="minorEastAsia"/>
          <w:sz w:val="24"/>
          <w:szCs w:val="24"/>
        </w:rPr>
        <w:t xml:space="preserve"> </w:t>
      </w:r>
      <w:bookmarkStart w:id="0" w:name="_GoBack"/>
      <w:bookmarkEnd w:id="0"/>
      <w:r w:rsidRPr="00BF6C3A">
        <w:rPr>
          <w:rFonts w:eastAsiaTheme="minorEastAsia"/>
          <w:sz w:val="24"/>
          <w:szCs w:val="24"/>
        </w:rPr>
        <w:t xml:space="preserve">“International Trade in Services Agreement (TISA)”. </w:t>
      </w:r>
    </w:p>
    <w:p w:rsidR="00BF6C3A" w:rsidRPr="00BF6C3A" w:rsidRDefault="00BF6C3A" w:rsidP="00BF6C3A">
      <w:pPr>
        <w:pStyle w:val="PlainText"/>
        <w:numPr>
          <w:ilvl w:val="0"/>
          <w:numId w:val="46"/>
        </w:numPr>
        <w:spacing w:before="240"/>
        <w:rPr>
          <w:rFonts w:eastAsiaTheme="minorEastAsia"/>
          <w:sz w:val="24"/>
          <w:szCs w:val="24"/>
          <w:u w:val="single"/>
        </w:rPr>
      </w:pPr>
      <w:r w:rsidRPr="00BF6C3A">
        <w:rPr>
          <w:rFonts w:eastAsiaTheme="minorEastAsia"/>
          <w:sz w:val="24"/>
          <w:szCs w:val="24"/>
          <w:u w:val="single"/>
        </w:rPr>
        <w:t xml:space="preserve">For those countries of the so-called “Really Good Friends” (RGF)  of services bloc participating in the talks – Australia, Canada, Chile, Colombia, Costa Rica, Hong Kong, Iceland, Israel, Japan, Mexico, New Zealand, Norway, Panama, Pakistan, Peru, South Korea, Switzerland, Taiwan, Turkey, the United States, and the 27 member states of the European Union – we urge you to abandon the negotiations. </w:t>
      </w:r>
    </w:p>
    <w:p w:rsidR="00BF6C3A" w:rsidRPr="00BF6C3A" w:rsidRDefault="00BF6C3A" w:rsidP="00BF6C3A">
      <w:pPr>
        <w:pStyle w:val="PlainText"/>
        <w:numPr>
          <w:ilvl w:val="0"/>
          <w:numId w:val="46"/>
        </w:numPr>
        <w:spacing w:before="240"/>
        <w:rPr>
          <w:rFonts w:eastAsiaTheme="minorEastAsia"/>
          <w:sz w:val="24"/>
          <w:szCs w:val="24"/>
          <w:u w:val="single"/>
        </w:rPr>
      </w:pPr>
      <w:r w:rsidRPr="00BF6C3A">
        <w:rPr>
          <w:rFonts w:eastAsiaTheme="minorEastAsia"/>
          <w:sz w:val="24"/>
          <w:szCs w:val="24"/>
          <w:u w:val="single"/>
        </w:rPr>
        <w:t>For those countries not now participating in the talks, we urge you to register your strong opposition to the negotiations and to pledge never to join any potential TISA in the future.</w:t>
      </w:r>
    </w:p>
    <w:p w:rsidR="00BF6C3A" w:rsidRPr="00BF6C3A" w:rsidRDefault="00BF6C3A" w:rsidP="00BF6C3A">
      <w:pPr>
        <w:pStyle w:val="PlainText"/>
        <w:rPr>
          <w:rFonts w:eastAsiaTheme="minorEastAsia"/>
          <w:sz w:val="24"/>
          <w:szCs w:val="24"/>
        </w:rPr>
      </w:pPr>
    </w:p>
    <w:p w:rsidR="00BF6C3A" w:rsidRPr="00BF6C3A" w:rsidRDefault="00BF6C3A" w:rsidP="00BF6C3A">
      <w:pPr>
        <w:pStyle w:val="PlainText"/>
        <w:rPr>
          <w:rFonts w:eastAsiaTheme="minorEastAsia"/>
          <w:sz w:val="24"/>
          <w:szCs w:val="24"/>
        </w:rPr>
      </w:pPr>
      <w:r w:rsidRPr="00BF6C3A">
        <w:rPr>
          <w:rFonts w:eastAsiaTheme="minorEastAsia"/>
          <w:sz w:val="24"/>
          <w:szCs w:val="24"/>
        </w:rPr>
        <w:t xml:space="preserve">The TISA negotiations largely follow the corporate agenda of using “trade” agreements to bind countries to extreme liberalization and deregulation in order to ensure greater corporate profits at the expense of workers, farmers, consumers and the environment. The proposed agreement is the direct result of systematic advocacy by transnational corporations in banking, energy, insurance, telecommunications, transportation, water, and other services sectors, working through lobby groups such as the US Coalition of Service Industries (USCSI) and the European Services Forum (ESF).  </w:t>
      </w:r>
    </w:p>
    <w:p w:rsidR="00BF6C3A" w:rsidRPr="00BF6C3A" w:rsidRDefault="00BF6C3A" w:rsidP="00BF6C3A">
      <w:pPr>
        <w:pStyle w:val="PlainText"/>
        <w:rPr>
          <w:rFonts w:eastAsiaTheme="minorEastAsia"/>
          <w:sz w:val="24"/>
          <w:szCs w:val="24"/>
        </w:rPr>
      </w:pPr>
    </w:p>
    <w:p w:rsidR="00BF6C3A" w:rsidRPr="00BF6C3A" w:rsidRDefault="00BF6C3A" w:rsidP="00BF6C3A">
      <w:pPr>
        <w:pStyle w:val="PlainText"/>
        <w:rPr>
          <w:rFonts w:eastAsiaTheme="minorEastAsia"/>
          <w:sz w:val="24"/>
          <w:szCs w:val="24"/>
        </w:rPr>
      </w:pPr>
      <w:r w:rsidRPr="00BF6C3A">
        <w:rPr>
          <w:rFonts w:eastAsiaTheme="minorEastAsia"/>
          <w:sz w:val="24"/>
          <w:szCs w:val="24"/>
        </w:rPr>
        <w:t xml:space="preserve">Notwithstanding several financial, economic, social and environmental crises, the services rules proposed for the TISA replicate and greatly expand upon the same rules that contributed to these crises. These </w:t>
      </w:r>
      <w:proofErr w:type="gramStart"/>
      <w:r w:rsidRPr="00BF6C3A">
        <w:rPr>
          <w:rFonts w:eastAsiaTheme="minorEastAsia"/>
          <w:sz w:val="24"/>
          <w:szCs w:val="24"/>
        </w:rPr>
        <w:t>rules,</w:t>
      </w:r>
      <w:proofErr w:type="gramEnd"/>
      <w:r w:rsidRPr="00BF6C3A">
        <w:rPr>
          <w:rFonts w:eastAsiaTheme="minorEastAsia"/>
          <w:sz w:val="24"/>
          <w:szCs w:val="24"/>
        </w:rPr>
        <w:t xml:space="preserve"> enshrined in the General Agreement on Trade in Services (GATS) of the World Trade Organization (WTO) and free trade agreements (FTAs), “discipline” government measures and limit policy space for regulation. </w:t>
      </w:r>
    </w:p>
    <w:p w:rsidR="00BF6C3A" w:rsidRPr="00BF6C3A" w:rsidRDefault="00BF6C3A" w:rsidP="00BF6C3A">
      <w:pPr>
        <w:pStyle w:val="PlainText"/>
        <w:rPr>
          <w:rFonts w:eastAsiaTheme="minorEastAsia"/>
          <w:sz w:val="24"/>
          <w:szCs w:val="24"/>
        </w:rPr>
      </w:pPr>
    </w:p>
    <w:p w:rsidR="00BF6C3A" w:rsidRPr="00BF6C3A" w:rsidRDefault="00BF6C3A" w:rsidP="00BF6C3A">
      <w:pPr>
        <w:pStyle w:val="PlainText"/>
        <w:rPr>
          <w:rFonts w:eastAsiaTheme="minorEastAsia"/>
          <w:sz w:val="24"/>
          <w:szCs w:val="24"/>
        </w:rPr>
      </w:pPr>
      <w:r w:rsidRPr="00BF6C3A">
        <w:rPr>
          <w:rFonts w:eastAsiaTheme="minorEastAsia"/>
          <w:sz w:val="24"/>
          <w:szCs w:val="24"/>
        </w:rPr>
        <w:t>For instance, the deregulation of the financial sector and capital which was encouraged in part through 1990s–era rules of GATS and FTAs led to the recent global financial crisis and the ensuing worldwide wave of recessions. The continued suffering by millions from unemployment and austerity measures reminds us that financial sector re-regulation is essential to rebuild stability and forest all future financial and economic crises.</w:t>
      </w:r>
    </w:p>
    <w:p w:rsidR="00BF6C3A" w:rsidRPr="00BF6C3A" w:rsidRDefault="00BF6C3A" w:rsidP="00BF6C3A">
      <w:pPr>
        <w:pStyle w:val="PlainText"/>
        <w:rPr>
          <w:rFonts w:eastAsiaTheme="minorEastAsia"/>
          <w:sz w:val="24"/>
          <w:szCs w:val="24"/>
        </w:rPr>
      </w:pPr>
    </w:p>
    <w:p w:rsidR="00BF6C3A" w:rsidRPr="00BF6C3A" w:rsidRDefault="00BF6C3A" w:rsidP="00BF6C3A">
      <w:pPr>
        <w:pStyle w:val="PlainText"/>
        <w:rPr>
          <w:rFonts w:eastAsiaTheme="minorEastAsia"/>
          <w:sz w:val="24"/>
          <w:szCs w:val="24"/>
        </w:rPr>
      </w:pPr>
      <w:r w:rsidRPr="00BF6C3A">
        <w:rPr>
          <w:rFonts w:eastAsiaTheme="minorEastAsia"/>
          <w:sz w:val="24"/>
          <w:szCs w:val="24"/>
        </w:rPr>
        <w:t>Strong regulation and oversight of services provided by the public and private sectors is crucial for democracy, the public interest and development, as well as for the orderly functioning of services markets. We fear that these values and goals would be seriously undermined by this proposed TISA.</w:t>
      </w:r>
    </w:p>
    <w:p w:rsidR="00BF6C3A" w:rsidRPr="00BF6C3A" w:rsidRDefault="00BF6C3A" w:rsidP="00BF6C3A">
      <w:pPr>
        <w:pStyle w:val="PlainText"/>
        <w:rPr>
          <w:rFonts w:eastAsiaTheme="minorEastAsia"/>
          <w:sz w:val="24"/>
          <w:szCs w:val="24"/>
        </w:rPr>
      </w:pPr>
    </w:p>
    <w:p w:rsidR="00BF6C3A" w:rsidRPr="00BF6C3A" w:rsidRDefault="00BF6C3A" w:rsidP="00BF6C3A">
      <w:pPr>
        <w:pStyle w:val="PlainText"/>
        <w:rPr>
          <w:rFonts w:eastAsiaTheme="minorEastAsia"/>
          <w:sz w:val="24"/>
          <w:szCs w:val="24"/>
        </w:rPr>
      </w:pPr>
      <w:r w:rsidRPr="00BF6C3A">
        <w:rPr>
          <w:rFonts w:eastAsiaTheme="minorEastAsia"/>
          <w:sz w:val="24"/>
          <w:szCs w:val="24"/>
        </w:rPr>
        <w:t>Democracy is eroded when decision-making about important sectors – such as financial services (including banking, securities trading, accounting, and insurance), energy, education, healthcare, retail, shipping, telecommunications, legal services, transportation, and tourism – is transferred from those who live with the results.  Domestic regulators and oversight boards on the national, provincial/state or local levels must determine domestic policies on such matters, not unaccountable “trade” negotiators who have shown a clear proclivity for curtailing regulation and prioritizing corporate profits over the public interest.</w:t>
      </w:r>
    </w:p>
    <w:p w:rsidR="00BF6C3A" w:rsidRPr="00BF6C3A" w:rsidRDefault="00BF6C3A" w:rsidP="00BF6C3A">
      <w:pPr>
        <w:pStyle w:val="PlainText"/>
        <w:rPr>
          <w:rFonts w:eastAsiaTheme="minorEastAsia"/>
          <w:sz w:val="24"/>
          <w:szCs w:val="24"/>
        </w:rPr>
      </w:pPr>
    </w:p>
    <w:p w:rsidR="00BF6C3A" w:rsidRPr="00BF6C3A" w:rsidRDefault="00BF6C3A" w:rsidP="00BF6C3A">
      <w:pPr>
        <w:pStyle w:val="PlainText"/>
        <w:rPr>
          <w:rFonts w:eastAsiaTheme="minorEastAsia"/>
          <w:sz w:val="24"/>
          <w:szCs w:val="24"/>
        </w:rPr>
      </w:pPr>
      <w:r w:rsidRPr="00BF6C3A">
        <w:rPr>
          <w:rFonts w:eastAsiaTheme="minorEastAsia"/>
          <w:sz w:val="24"/>
          <w:szCs w:val="24"/>
        </w:rPr>
        <w:t>We strongly condemn the secretive nature of the TISA talks, in which the citizens, parliamentarians, trade unions, regulating agencies, services users and other interested parties have limited or no access to those who are setting negotiating mandates or to negotiations or negotiating documents, while corporations set the agenda and have easy access to the negotiations and documents. We insist that in such negotiations as for the proposed TISA, negotiating texts must be published, and input from regulatory agencies, public service providers and users, parliamentarians, state and local officials, and civil society organizations must be regularly invited. Parliaments must set binding terms for such negotiations, which must not go into effect without a full vote of elected officials.</w:t>
      </w:r>
    </w:p>
    <w:p w:rsidR="00BF6C3A" w:rsidRPr="00BF6C3A" w:rsidRDefault="00BF6C3A" w:rsidP="00BF6C3A">
      <w:pPr>
        <w:pStyle w:val="PlainText"/>
        <w:rPr>
          <w:rFonts w:eastAsiaTheme="minorEastAsia"/>
          <w:sz w:val="24"/>
          <w:szCs w:val="24"/>
        </w:rPr>
      </w:pPr>
    </w:p>
    <w:p w:rsidR="00BF6C3A" w:rsidRPr="00BF6C3A" w:rsidRDefault="00BF6C3A" w:rsidP="00BF6C3A">
      <w:pPr>
        <w:pStyle w:val="PlainText"/>
        <w:rPr>
          <w:rFonts w:eastAsiaTheme="minorEastAsia"/>
          <w:sz w:val="24"/>
          <w:szCs w:val="24"/>
        </w:rPr>
      </w:pPr>
      <w:r w:rsidRPr="00BF6C3A">
        <w:rPr>
          <w:rFonts w:eastAsiaTheme="minorEastAsia"/>
          <w:sz w:val="24"/>
          <w:szCs w:val="24"/>
        </w:rPr>
        <w:t>The proposed TISA is an assault on the public interest as it fails to ensure that foreign investments in service sectors actually promote public goals and sustainable economies. We are particularly wary of further undermining of essential services such as health care and insurance, water and energy provision, postal distribution, education, public transportation, sanitation, and others if they are handed over to private and foreign corporations motivated only by profits and available only to those who can pay market rates. Therefore such essential services – including those that operate under a public/private mix, compete with private providers, or charge a fee –should not be subject to any closed-door, unaccountable trade negotiations, including the TISA.</w:t>
      </w:r>
    </w:p>
    <w:p w:rsidR="00BF6C3A" w:rsidRPr="00BF6C3A" w:rsidRDefault="00BF6C3A" w:rsidP="00BF6C3A">
      <w:pPr>
        <w:pStyle w:val="PlainText"/>
        <w:rPr>
          <w:rFonts w:eastAsiaTheme="minorEastAsia"/>
          <w:sz w:val="24"/>
          <w:szCs w:val="24"/>
        </w:rPr>
      </w:pPr>
    </w:p>
    <w:p w:rsidR="00BF6C3A" w:rsidRPr="00BF6C3A" w:rsidRDefault="00BF6C3A" w:rsidP="00BF6C3A">
      <w:pPr>
        <w:pStyle w:val="PlainText"/>
        <w:rPr>
          <w:rFonts w:eastAsiaTheme="minorEastAsia"/>
          <w:sz w:val="24"/>
          <w:szCs w:val="24"/>
        </w:rPr>
      </w:pPr>
      <w:r w:rsidRPr="00BF6C3A">
        <w:rPr>
          <w:rFonts w:eastAsiaTheme="minorEastAsia"/>
          <w:sz w:val="24"/>
          <w:szCs w:val="24"/>
        </w:rPr>
        <w:t xml:space="preserve">We denounce the ambition of the RGF to bind further service sectors to the deregulatory GATS-like rules, such as those replicating GATS Article XVI on Market Access or Article VI on Domestic Regulation, while legislatures move toward re-regulation. We further reject any plans to adopt new cross-sector restrictions on licensing, technical standards and other domestic regulations (even regulations that affect domestic and foreign businesses alike) that would surpass the existing GATS and FTA rules in restricting governments’ and parliaments’ right to regulate. </w:t>
      </w:r>
    </w:p>
    <w:p w:rsidR="00BF6C3A" w:rsidRPr="00BF6C3A" w:rsidRDefault="00BF6C3A" w:rsidP="00BF6C3A">
      <w:pPr>
        <w:pStyle w:val="PlainText"/>
        <w:rPr>
          <w:rFonts w:eastAsiaTheme="minorEastAsia"/>
          <w:sz w:val="24"/>
          <w:szCs w:val="24"/>
        </w:rPr>
      </w:pPr>
    </w:p>
    <w:p w:rsidR="00BF6C3A" w:rsidRPr="00BF6C3A" w:rsidRDefault="00BF6C3A" w:rsidP="00BF6C3A">
      <w:pPr>
        <w:pStyle w:val="PlainText"/>
        <w:rPr>
          <w:rFonts w:eastAsiaTheme="minorEastAsia"/>
          <w:sz w:val="24"/>
          <w:szCs w:val="24"/>
        </w:rPr>
      </w:pPr>
      <w:r w:rsidRPr="00BF6C3A">
        <w:rPr>
          <w:rFonts w:eastAsiaTheme="minorEastAsia"/>
          <w:sz w:val="24"/>
          <w:szCs w:val="24"/>
        </w:rPr>
        <w:t xml:space="preserve">We denounce the intent within the proposed TISA to promote the liberalization of so-called temporary movement of natural persons, who are actually migrant workers, without guaranteeing legal protections for their human and labor rights. The movement of workers is outside the competence of trade agreements and must be dealt with as part of the normative tripartite framework of the International </w:t>
      </w:r>
      <w:proofErr w:type="spellStart"/>
      <w:r w:rsidRPr="00BF6C3A">
        <w:rPr>
          <w:rFonts w:eastAsiaTheme="minorEastAsia"/>
          <w:sz w:val="24"/>
          <w:szCs w:val="24"/>
        </w:rPr>
        <w:t>Labour</w:t>
      </w:r>
      <w:proofErr w:type="spellEnd"/>
      <w:r w:rsidRPr="00BF6C3A">
        <w:rPr>
          <w:rFonts w:eastAsiaTheme="minorEastAsia"/>
          <w:sz w:val="24"/>
          <w:szCs w:val="24"/>
        </w:rPr>
        <w:t xml:space="preserve"> Organization (ILO). </w:t>
      </w:r>
    </w:p>
    <w:p w:rsidR="00BF6C3A" w:rsidRPr="00BF6C3A" w:rsidRDefault="00BF6C3A" w:rsidP="00BF6C3A">
      <w:pPr>
        <w:pStyle w:val="PlainText"/>
        <w:rPr>
          <w:rFonts w:eastAsiaTheme="minorEastAsia"/>
          <w:sz w:val="24"/>
          <w:szCs w:val="24"/>
        </w:rPr>
      </w:pPr>
    </w:p>
    <w:p w:rsidR="00BF6C3A" w:rsidRPr="00BF6C3A" w:rsidRDefault="00BF6C3A" w:rsidP="00BF6C3A">
      <w:pPr>
        <w:pStyle w:val="PlainText"/>
        <w:rPr>
          <w:rFonts w:eastAsiaTheme="minorEastAsia"/>
          <w:sz w:val="24"/>
          <w:szCs w:val="24"/>
        </w:rPr>
      </w:pPr>
      <w:r w:rsidRPr="00BF6C3A">
        <w:rPr>
          <w:rFonts w:eastAsiaTheme="minorEastAsia"/>
          <w:sz w:val="24"/>
          <w:szCs w:val="24"/>
        </w:rPr>
        <w:t>The proposed TISA also poses a threat to countries that are not participating. The European Union and the United States have made clear that their intention is to “</w:t>
      </w:r>
      <w:proofErr w:type="spellStart"/>
      <w:r w:rsidRPr="00BF6C3A">
        <w:rPr>
          <w:rFonts w:eastAsiaTheme="minorEastAsia"/>
          <w:sz w:val="24"/>
          <w:szCs w:val="24"/>
        </w:rPr>
        <w:t>multilateralize</w:t>
      </w:r>
      <w:proofErr w:type="spellEnd"/>
      <w:r w:rsidRPr="00BF6C3A">
        <w:rPr>
          <w:rFonts w:eastAsiaTheme="minorEastAsia"/>
          <w:sz w:val="24"/>
          <w:szCs w:val="24"/>
        </w:rPr>
        <w:t xml:space="preserve">” the negotiations. We call for vigilance against the determination of the EU and the United States to set the TISA’s hyper-deregulation-and-privatization agenda as the global “norm,” and to pressure other countries into joining, in particular countries that may accede to the WTO. Further, if a TISA is concluded, there is a significant prospect that signatory countries would try to circumvent the services negotiating guidelines that WTO members agreed upon by consensus and acting as a bloc in GATS negotiations to push other countries to meet the TISA level of liberalization and deregulation.  We further denounce the TISA as an attempt to advance developed countries’ corporate wish lists for services, while abandoning commitments made in the WTO’s Doha Development Agenda to address developing country concerns, such as fixing existing asymmetries and unfair rules on agriculture. </w:t>
      </w:r>
    </w:p>
    <w:p w:rsidR="00BF6C3A" w:rsidRPr="00BF6C3A" w:rsidRDefault="00BF6C3A" w:rsidP="00BF6C3A">
      <w:pPr>
        <w:pStyle w:val="PlainText"/>
        <w:rPr>
          <w:rFonts w:eastAsiaTheme="minorEastAsia"/>
          <w:sz w:val="24"/>
          <w:szCs w:val="24"/>
        </w:rPr>
      </w:pPr>
    </w:p>
    <w:p w:rsidR="00BF6C3A" w:rsidRPr="00BF6C3A" w:rsidRDefault="00BF6C3A" w:rsidP="00BF6C3A">
      <w:pPr>
        <w:pStyle w:val="PlainText"/>
        <w:rPr>
          <w:rFonts w:eastAsiaTheme="minorEastAsia"/>
          <w:sz w:val="24"/>
          <w:szCs w:val="24"/>
        </w:rPr>
      </w:pPr>
      <w:r w:rsidRPr="00BF6C3A">
        <w:rPr>
          <w:rFonts w:eastAsiaTheme="minorEastAsia"/>
          <w:sz w:val="24"/>
          <w:szCs w:val="24"/>
        </w:rPr>
        <w:t xml:space="preserve">The world is still recovering from the greatest global economic downturn in nearly a century, facilitated by the extreme deregulation of the financial services industry. It is clear that strong public oversight of services is necessary to ensure that the public interest is prioritized over private profit. We reject the TISA negotiations, which would move our countries in precisely the wrong direction. </w:t>
      </w:r>
    </w:p>
    <w:p w:rsidR="00BF6C3A" w:rsidRDefault="00BF6C3A" w:rsidP="00BF6C3A">
      <w:pPr>
        <w:pStyle w:val="PlainText"/>
        <w:rPr>
          <w:sz w:val="24"/>
          <w:szCs w:val="24"/>
        </w:rPr>
      </w:pPr>
    </w:p>
    <w:p w:rsidR="00EE68FD" w:rsidRDefault="00EE0911" w:rsidP="00BF6C3A">
      <w:pPr>
        <w:pStyle w:val="PlainText"/>
        <w:rPr>
          <w:sz w:val="24"/>
          <w:szCs w:val="24"/>
        </w:rPr>
      </w:pPr>
      <w:r>
        <w:rPr>
          <w:sz w:val="24"/>
          <w:szCs w:val="24"/>
        </w:rPr>
        <w:t xml:space="preserve">Signed, </w:t>
      </w:r>
    </w:p>
    <w:p w:rsidR="000C50BE" w:rsidRDefault="000C50BE" w:rsidP="00BF6C3A">
      <w:pPr>
        <w:pStyle w:val="PlainText"/>
        <w:rPr>
          <w:sz w:val="24"/>
          <w:szCs w:val="24"/>
        </w:rPr>
      </w:pPr>
    </w:p>
    <w:p w:rsidR="000C50BE" w:rsidRDefault="000C50BE" w:rsidP="00BF6C3A">
      <w:pPr>
        <w:pStyle w:val="PlainText"/>
        <w:rPr>
          <w:sz w:val="24"/>
          <w:szCs w:val="24"/>
        </w:rPr>
      </w:pPr>
    </w:p>
    <w:tbl>
      <w:tblPr>
        <w:tblStyle w:val="TableGrid"/>
        <w:tblW w:w="0" w:type="auto"/>
        <w:tblLook w:val="04A0" w:firstRow="1" w:lastRow="0" w:firstColumn="1" w:lastColumn="0" w:noHBand="0" w:noVBand="1"/>
      </w:tblPr>
      <w:tblGrid>
        <w:gridCol w:w="496"/>
        <w:gridCol w:w="3122"/>
        <w:gridCol w:w="5958"/>
      </w:tblGrid>
      <w:tr w:rsidR="008D7073" w:rsidRPr="0098038C" w:rsidTr="008D7073">
        <w:trPr>
          <w:trHeight w:val="315"/>
        </w:trPr>
        <w:tc>
          <w:tcPr>
            <w:tcW w:w="496" w:type="dxa"/>
            <w:noWrap/>
            <w:hideMark/>
          </w:tcPr>
          <w:p w:rsidR="008D7073" w:rsidRPr="0098038C" w:rsidRDefault="008D7073" w:rsidP="00BF6C3A">
            <w:pPr>
              <w:pStyle w:val="PlainText"/>
              <w:rPr>
                <w:sz w:val="24"/>
                <w:szCs w:val="24"/>
              </w:rPr>
            </w:pPr>
            <w:r w:rsidRPr="0098038C">
              <w:rPr>
                <w:sz w:val="24"/>
                <w:szCs w:val="24"/>
              </w:rPr>
              <w:t> </w:t>
            </w:r>
          </w:p>
        </w:tc>
        <w:tc>
          <w:tcPr>
            <w:tcW w:w="9080" w:type="dxa"/>
            <w:gridSpan w:val="2"/>
            <w:noWrap/>
            <w:hideMark/>
          </w:tcPr>
          <w:p w:rsidR="008D7073" w:rsidRPr="0098038C" w:rsidRDefault="008D7073" w:rsidP="00BF6C3A">
            <w:pPr>
              <w:pStyle w:val="PlainText"/>
              <w:rPr>
                <w:b/>
                <w:bCs/>
                <w:sz w:val="24"/>
                <w:szCs w:val="24"/>
              </w:rPr>
            </w:pPr>
            <w:r w:rsidRPr="0098038C">
              <w:rPr>
                <w:b/>
                <w:bCs/>
                <w:sz w:val="24"/>
                <w:szCs w:val="24"/>
              </w:rPr>
              <w:t>International and Regional organizations and Networks</w:t>
            </w:r>
          </w:p>
        </w:tc>
      </w:tr>
      <w:tr w:rsidR="008D7073" w:rsidRPr="0098038C" w:rsidTr="008D7073">
        <w:trPr>
          <w:trHeight w:val="630"/>
        </w:trPr>
        <w:tc>
          <w:tcPr>
            <w:tcW w:w="496" w:type="dxa"/>
            <w:noWrap/>
            <w:hideMark/>
          </w:tcPr>
          <w:p w:rsidR="008D7073" w:rsidRPr="0098038C" w:rsidRDefault="008D7073" w:rsidP="00BF6C3A">
            <w:pPr>
              <w:pStyle w:val="PlainText"/>
              <w:rPr>
                <w:sz w:val="24"/>
                <w:szCs w:val="24"/>
              </w:rPr>
            </w:pPr>
            <w:r w:rsidRPr="0098038C">
              <w:rPr>
                <w:sz w:val="24"/>
                <w:szCs w:val="24"/>
              </w:rPr>
              <w:t>1</w:t>
            </w:r>
          </w:p>
        </w:tc>
        <w:tc>
          <w:tcPr>
            <w:tcW w:w="3122" w:type="dxa"/>
            <w:noWrap/>
            <w:hideMark/>
          </w:tcPr>
          <w:p w:rsidR="008D7073" w:rsidRPr="0098038C" w:rsidRDefault="008D7073" w:rsidP="00BF6C3A">
            <w:pPr>
              <w:pStyle w:val="PlainText"/>
              <w:rPr>
                <w:sz w:val="24"/>
                <w:szCs w:val="24"/>
              </w:rPr>
            </w:pPr>
            <w:r w:rsidRPr="0098038C">
              <w:rPr>
                <w:sz w:val="24"/>
                <w:szCs w:val="24"/>
              </w:rPr>
              <w:t>Asia Pacific Mission for Migrants (APMM)</w:t>
            </w:r>
          </w:p>
        </w:tc>
        <w:tc>
          <w:tcPr>
            <w:tcW w:w="5958" w:type="dxa"/>
            <w:noWrap/>
            <w:hideMark/>
          </w:tcPr>
          <w:p w:rsidR="008D7073" w:rsidRPr="0098038C" w:rsidRDefault="008D7073" w:rsidP="00BF6C3A">
            <w:pPr>
              <w:pStyle w:val="PlainText"/>
              <w:rPr>
                <w:sz w:val="24"/>
                <w:szCs w:val="24"/>
              </w:rPr>
            </w:pPr>
            <w:r w:rsidRPr="0098038C">
              <w:rPr>
                <w:sz w:val="24"/>
                <w:szCs w:val="24"/>
              </w:rPr>
              <w:t xml:space="preserve">A regional migrant </w:t>
            </w:r>
            <w:proofErr w:type="spellStart"/>
            <w:r w:rsidRPr="0098038C">
              <w:rPr>
                <w:sz w:val="24"/>
                <w:szCs w:val="24"/>
              </w:rPr>
              <w:t>centre</w:t>
            </w:r>
            <w:proofErr w:type="spellEnd"/>
            <w:r w:rsidRPr="0098038C">
              <w:rPr>
                <w:sz w:val="24"/>
                <w:szCs w:val="24"/>
              </w:rPr>
              <w:t xml:space="preserve"> working in the Asia Pacific and Middle East region. </w:t>
            </w:r>
          </w:p>
        </w:tc>
      </w:tr>
      <w:tr w:rsidR="008D7073" w:rsidRPr="0098038C" w:rsidTr="008D7073">
        <w:trPr>
          <w:trHeight w:val="945"/>
        </w:trPr>
        <w:tc>
          <w:tcPr>
            <w:tcW w:w="496" w:type="dxa"/>
            <w:noWrap/>
            <w:hideMark/>
          </w:tcPr>
          <w:p w:rsidR="008D7073" w:rsidRPr="0098038C" w:rsidRDefault="008D7073" w:rsidP="00BF6C3A">
            <w:pPr>
              <w:pStyle w:val="PlainText"/>
              <w:rPr>
                <w:sz w:val="24"/>
                <w:szCs w:val="24"/>
              </w:rPr>
            </w:pPr>
            <w:r w:rsidRPr="0098038C">
              <w:rPr>
                <w:sz w:val="24"/>
                <w:szCs w:val="24"/>
              </w:rPr>
              <w:t>2</w:t>
            </w:r>
          </w:p>
        </w:tc>
        <w:tc>
          <w:tcPr>
            <w:tcW w:w="3122" w:type="dxa"/>
            <w:noWrap/>
            <w:hideMark/>
          </w:tcPr>
          <w:p w:rsidR="008D7073" w:rsidRPr="0098038C" w:rsidRDefault="008D7073" w:rsidP="00BF6C3A">
            <w:pPr>
              <w:pStyle w:val="PlainText"/>
              <w:rPr>
                <w:sz w:val="24"/>
                <w:szCs w:val="24"/>
              </w:rPr>
            </w:pPr>
            <w:r w:rsidRPr="0098038C">
              <w:rPr>
                <w:sz w:val="24"/>
                <w:szCs w:val="24"/>
              </w:rPr>
              <w:t>Asia Pacific Research Network (APRN)</w:t>
            </w:r>
          </w:p>
        </w:tc>
        <w:tc>
          <w:tcPr>
            <w:tcW w:w="5958" w:type="dxa"/>
            <w:noWrap/>
            <w:hideMark/>
          </w:tcPr>
          <w:p w:rsidR="008D7073" w:rsidRPr="0098038C" w:rsidRDefault="008D7073" w:rsidP="00BF6C3A">
            <w:pPr>
              <w:pStyle w:val="PlainText"/>
              <w:rPr>
                <w:sz w:val="24"/>
                <w:szCs w:val="24"/>
              </w:rPr>
            </w:pPr>
            <w:r w:rsidRPr="0098038C">
              <w:rPr>
                <w:sz w:val="24"/>
                <w:szCs w:val="24"/>
              </w:rPr>
              <w:t>APRN is a network of leading research NGOs in the Asia-Pacific. It is active in promoting exchange, coordination and capacity building support in research.</w:t>
            </w:r>
          </w:p>
        </w:tc>
      </w:tr>
      <w:tr w:rsidR="008D7073" w:rsidRPr="0098038C" w:rsidTr="008D7073">
        <w:trPr>
          <w:trHeight w:val="1260"/>
        </w:trPr>
        <w:tc>
          <w:tcPr>
            <w:tcW w:w="496" w:type="dxa"/>
            <w:noWrap/>
            <w:hideMark/>
          </w:tcPr>
          <w:p w:rsidR="008D7073" w:rsidRPr="0098038C" w:rsidRDefault="008D7073" w:rsidP="00BF6C3A">
            <w:pPr>
              <w:pStyle w:val="PlainText"/>
              <w:rPr>
                <w:sz w:val="24"/>
                <w:szCs w:val="24"/>
              </w:rPr>
            </w:pPr>
            <w:r w:rsidRPr="0098038C">
              <w:rPr>
                <w:sz w:val="24"/>
                <w:szCs w:val="24"/>
              </w:rPr>
              <w:t>3</w:t>
            </w:r>
          </w:p>
        </w:tc>
        <w:tc>
          <w:tcPr>
            <w:tcW w:w="3122" w:type="dxa"/>
            <w:noWrap/>
            <w:hideMark/>
          </w:tcPr>
          <w:p w:rsidR="008D7073" w:rsidRPr="0098038C" w:rsidRDefault="008D7073" w:rsidP="00BF6C3A">
            <w:pPr>
              <w:pStyle w:val="PlainText"/>
              <w:rPr>
                <w:sz w:val="24"/>
                <w:szCs w:val="24"/>
              </w:rPr>
            </w:pPr>
            <w:r w:rsidRPr="0098038C">
              <w:rPr>
                <w:sz w:val="24"/>
                <w:szCs w:val="24"/>
              </w:rPr>
              <w:t>Eastern and Southern Africa Small-scale Farmer’s Forum (ESAFF)</w:t>
            </w:r>
          </w:p>
        </w:tc>
        <w:tc>
          <w:tcPr>
            <w:tcW w:w="5958" w:type="dxa"/>
            <w:noWrap/>
            <w:hideMark/>
          </w:tcPr>
          <w:p w:rsidR="008D7073" w:rsidRPr="0098038C" w:rsidRDefault="008D7073" w:rsidP="00BF6C3A">
            <w:pPr>
              <w:pStyle w:val="PlainText"/>
              <w:rPr>
                <w:sz w:val="24"/>
                <w:szCs w:val="24"/>
              </w:rPr>
            </w:pPr>
            <w:r w:rsidRPr="0098038C">
              <w:rPr>
                <w:sz w:val="24"/>
                <w:szCs w:val="24"/>
              </w:rPr>
              <w:t>ESAFF is a network of small holder farmers that advocate for policy, practice and attitude change that reflects the needs, aspirations, and development of small-scale farmers in east and southern Africa. ESAFF operates in 13 countries.</w:t>
            </w:r>
          </w:p>
        </w:tc>
      </w:tr>
      <w:tr w:rsidR="008D7073" w:rsidRPr="0098038C" w:rsidTr="008D7073">
        <w:trPr>
          <w:trHeight w:val="1575"/>
        </w:trPr>
        <w:tc>
          <w:tcPr>
            <w:tcW w:w="496" w:type="dxa"/>
            <w:noWrap/>
            <w:hideMark/>
          </w:tcPr>
          <w:p w:rsidR="008D7073" w:rsidRPr="0098038C" w:rsidRDefault="008D7073" w:rsidP="00BF6C3A">
            <w:pPr>
              <w:pStyle w:val="PlainText"/>
              <w:rPr>
                <w:sz w:val="24"/>
                <w:szCs w:val="24"/>
              </w:rPr>
            </w:pPr>
            <w:r w:rsidRPr="0098038C">
              <w:rPr>
                <w:sz w:val="24"/>
                <w:szCs w:val="24"/>
              </w:rPr>
              <w:t>4</w:t>
            </w:r>
          </w:p>
        </w:tc>
        <w:tc>
          <w:tcPr>
            <w:tcW w:w="3122" w:type="dxa"/>
            <w:noWrap/>
            <w:hideMark/>
          </w:tcPr>
          <w:p w:rsidR="008D7073" w:rsidRPr="0098038C" w:rsidRDefault="008D7073" w:rsidP="00BF6C3A">
            <w:pPr>
              <w:pStyle w:val="PlainText"/>
              <w:rPr>
                <w:sz w:val="24"/>
                <w:szCs w:val="24"/>
              </w:rPr>
            </w:pPr>
            <w:r w:rsidRPr="0098038C">
              <w:rPr>
                <w:sz w:val="24"/>
                <w:szCs w:val="24"/>
              </w:rPr>
              <w:t>IBON International</w:t>
            </w:r>
          </w:p>
        </w:tc>
        <w:tc>
          <w:tcPr>
            <w:tcW w:w="5958" w:type="dxa"/>
            <w:noWrap/>
            <w:hideMark/>
          </w:tcPr>
          <w:p w:rsidR="008D7073" w:rsidRPr="0098038C" w:rsidRDefault="008D7073" w:rsidP="00BF6C3A">
            <w:pPr>
              <w:pStyle w:val="PlainText"/>
              <w:rPr>
                <w:sz w:val="24"/>
                <w:szCs w:val="24"/>
              </w:rPr>
            </w:pPr>
            <w:r w:rsidRPr="0098038C">
              <w:rPr>
                <w:sz w:val="24"/>
                <w:szCs w:val="24"/>
              </w:rPr>
              <w:t>IBON initiates and implements international programs, develops and hosts international networks, initiates and participates in international advocacy campaigns, and establishes regional and country offices. IBON strengthens links between local campaigns and advocacies to international initiatives.</w:t>
            </w:r>
          </w:p>
        </w:tc>
      </w:tr>
      <w:tr w:rsidR="008D7073" w:rsidRPr="0098038C" w:rsidTr="008D7073">
        <w:trPr>
          <w:trHeight w:val="1575"/>
        </w:trPr>
        <w:tc>
          <w:tcPr>
            <w:tcW w:w="496" w:type="dxa"/>
            <w:noWrap/>
            <w:hideMark/>
          </w:tcPr>
          <w:p w:rsidR="008D7073" w:rsidRPr="0098038C" w:rsidRDefault="008D7073" w:rsidP="00BF6C3A">
            <w:pPr>
              <w:pStyle w:val="PlainText"/>
              <w:rPr>
                <w:sz w:val="24"/>
                <w:szCs w:val="24"/>
              </w:rPr>
            </w:pPr>
            <w:r w:rsidRPr="0098038C">
              <w:rPr>
                <w:sz w:val="24"/>
                <w:szCs w:val="24"/>
              </w:rPr>
              <w:t>5</w:t>
            </w:r>
          </w:p>
        </w:tc>
        <w:tc>
          <w:tcPr>
            <w:tcW w:w="3122" w:type="dxa"/>
            <w:noWrap/>
            <w:hideMark/>
          </w:tcPr>
          <w:p w:rsidR="008D7073" w:rsidRPr="0098038C" w:rsidRDefault="008D7073" w:rsidP="00BF6C3A">
            <w:pPr>
              <w:pStyle w:val="PlainText"/>
              <w:rPr>
                <w:sz w:val="24"/>
                <w:szCs w:val="24"/>
              </w:rPr>
            </w:pPr>
            <w:r w:rsidRPr="0098038C">
              <w:rPr>
                <w:sz w:val="24"/>
                <w:szCs w:val="24"/>
              </w:rPr>
              <w:t>Indigenous Peoples Movement for Self Determination and Liberation (IPMSDL)</w:t>
            </w:r>
          </w:p>
        </w:tc>
        <w:tc>
          <w:tcPr>
            <w:tcW w:w="5958" w:type="dxa"/>
            <w:noWrap/>
            <w:hideMark/>
          </w:tcPr>
          <w:p w:rsidR="008D7073" w:rsidRPr="0098038C" w:rsidRDefault="008D7073" w:rsidP="00BF6C3A">
            <w:pPr>
              <w:pStyle w:val="PlainText"/>
              <w:rPr>
                <w:sz w:val="24"/>
                <w:szCs w:val="24"/>
              </w:rPr>
            </w:pPr>
            <w:r w:rsidRPr="0098038C">
              <w:rPr>
                <w:sz w:val="24"/>
                <w:szCs w:val="24"/>
              </w:rPr>
              <w:t>The IPMSDL is comprised of indigenous leaders and advocates from different countries in Asia, Pacific, Australia, Africa, Europe and North America. The IPMSDL stands for the right of indigenous peoples to govern ourselves and for liberation from imperialism, state oppression and human rights violations.</w:t>
            </w:r>
          </w:p>
        </w:tc>
      </w:tr>
      <w:tr w:rsidR="008D7073" w:rsidRPr="0098038C" w:rsidTr="008D7073">
        <w:trPr>
          <w:trHeight w:val="1260"/>
        </w:trPr>
        <w:tc>
          <w:tcPr>
            <w:tcW w:w="496" w:type="dxa"/>
            <w:noWrap/>
            <w:hideMark/>
          </w:tcPr>
          <w:p w:rsidR="008D7073" w:rsidRPr="0098038C" w:rsidRDefault="008D7073" w:rsidP="00BF6C3A">
            <w:pPr>
              <w:pStyle w:val="PlainText"/>
              <w:rPr>
                <w:sz w:val="24"/>
                <w:szCs w:val="24"/>
              </w:rPr>
            </w:pPr>
            <w:r w:rsidRPr="0098038C">
              <w:rPr>
                <w:sz w:val="24"/>
                <w:szCs w:val="24"/>
              </w:rPr>
              <w:t>6</w:t>
            </w:r>
          </w:p>
        </w:tc>
        <w:tc>
          <w:tcPr>
            <w:tcW w:w="3122" w:type="dxa"/>
            <w:noWrap/>
            <w:hideMark/>
          </w:tcPr>
          <w:p w:rsidR="008D7073" w:rsidRPr="0098038C" w:rsidRDefault="008D7073" w:rsidP="00BF6C3A">
            <w:pPr>
              <w:pStyle w:val="PlainText"/>
              <w:rPr>
                <w:sz w:val="24"/>
                <w:szCs w:val="24"/>
              </w:rPr>
            </w:pPr>
            <w:r w:rsidRPr="0098038C">
              <w:rPr>
                <w:sz w:val="24"/>
                <w:szCs w:val="24"/>
              </w:rPr>
              <w:t>International Union of Food, Agricultural, Hotel, Restaurant, Catering, Tobacco and Allied Workers' Associations (IUF)</w:t>
            </w:r>
          </w:p>
        </w:tc>
        <w:tc>
          <w:tcPr>
            <w:tcW w:w="5958" w:type="dxa"/>
            <w:noWrap/>
            <w:hideMark/>
          </w:tcPr>
          <w:p w:rsidR="008D7073" w:rsidRPr="0098038C" w:rsidRDefault="008D7073" w:rsidP="00BF6C3A">
            <w:pPr>
              <w:pStyle w:val="PlainText"/>
              <w:rPr>
                <w:sz w:val="24"/>
                <w:szCs w:val="24"/>
              </w:rPr>
            </w:pPr>
            <w:r w:rsidRPr="0098038C">
              <w:rPr>
                <w:sz w:val="24"/>
                <w:szCs w:val="24"/>
              </w:rPr>
              <w:t>The IUF is currently composed of 385 trade unions in 123 countries representing a combined representational membership of over 12 million workers (including a financial membership of 2.6 million). It is based in Geneva, Switzerland.</w:t>
            </w:r>
          </w:p>
        </w:tc>
      </w:tr>
      <w:tr w:rsidR="008D7073" w:rsidRPr="0098038C" w:rsidTr="008D7073">
        <w:trPr>
          <w:trHeight w:val="1260"/>
        </w:trPr>
        <w:tc>
          <w:tcPr>
            <w:tcW w:w="496" w:type="dxa"/>
            <w:noWrap/>
            <w:hideMark/>
          </w:tcPr>
          <w:p w:rsidR="008D7073" w:rsidRPr="0098038C" w:rsidRDefault="008D7073" w:rsidP="00BF6C3A">
            <w:pPr>
              <w:pStyle w:val="PlainText"/>
              <w:rPr>
                <w:sz w:val="24"/>
                <w:szCs w:val="24"/>
              </w:rPr>
            </w:pPr>
            <w:r w:rsidRPr="0098038C">
              <w:rPr>
                <w:sz w:val="24"/>
                <w:szCs w:val="24"/>
              </w:rPr>
              <w:t>7</w:t>
            </w:r>
          </w:p>
        </w:tc>
        <w:tc>
          <w:tcPr>
            <w:tcW w:w="3122" w:type="dxa"/>
            <w:noWrap/>
            <w:hideMark/>
          </w:tcPr>
          <w:p w:rsidR="008D7073" w:rsidRPr="0098038C" w:rsidRDefault="008D7073" w:rsidP="00BF6C3A">
            <w:pPr>
              <w:pStyle w:val="PlainText"/>
              <w:rPr>
                <w:sz w:val="24"/>
                <w:szCs w:val="24"/>
              </w:rPr>
            </w:pPr>
            <w:r w:rsidRPr="0098038C">
              <w:rPr>
                <w:sz w:val="24"/>
                <w:szCs w:val="24"/>
              </w:rPr>
              <w:t>Public Service</w:t>
            </w:r>
            <w:r w:rsidR="0021115B">
              <w:rPr>
                <w:sz w:val="24"/>
                <w:szCs w:val="24"/>
              </w:rPr>
              <w:t>s</w:t>
            </w:r>
            <w:r w:rsidRPr="0098038C">
              <w:rPr>
                <w:sz w:val="24"/>
                <w:szCs w:val="24"/>
              </w:rPr>
              <w:t xml:space="preserve"> International</w:t>
            </w:r>
            <w:r w:rsidR="00426792">
              <w:rPr>
                <w:sz w:val="24"/>
                <w:szCs w:val="24"/>
              </w:rPr>
              <w:t xml:space="preserve"> (PSI)</w:t>
            </w:r>
          </w:p>
        </w:tc>
        <w:tc>
          <w:tcPr>
            <w:tcW w:w="5958" w:type="dxa"/>
            <w:noWrap/>
            <w:hideMark/>
          </w:tcPr>
          <w:p w:rsidR="008D7073" w:rsidRPr="0098038C" w:rsidRDefault="008D7073" w:rsidP="00BF6C3A">
            <w:pPr>
              <w:pStyle w:val="PlainText"/>
              <w:rPr>
                <w:sz w:val="24"/>
                <w:szCs w:val="24"/>
              </w:rPr>
            </w:pPr>
            <w:r w:rsidRPr="0098038C">
              <w:rPr>
                <w:sz w:val="24"/>
                <w:szCs w:val="24"/>
              </w:rPr>
              <w:t xml:space="preserve">Public Services International (PSI) is a global trade union federation dedicated to promoting quality public services in every part of the world. PSI brings together more than 20 million workers, represented by 650 unions in 148 countries and territories.  </w:t>
            </w:r>
          </w:p>
        </w:tc>
      </w:tr>
      <w:tr w:rsidR="008D7073" w:rsidRPr="0098038C" w:rsidTr="008D7073">
        <w:trPr>
          <w:trHeight w:val="1260"/>
        </w:trPr>
        <w:tc>
          <w:tcPr>
            <w:tcW w:w="496" w:type="dxa"/>
            <w:noWrap/>
            <w:hideMark/>
          </w:tcPr>
          <w:p w:rsidR="008D7073" w:rsidRPr="0098038C" w:rsidRDefault="008D7073" w:rsidP="00BF6C3A">
            <w:pPr>
              <w:pStyle w:val="PlainText"/>
              <w:rPr>
                <w:sz w:val="24"/>
                <w:szCs w:val="24"/>
              </w:rPr>
            </w:pPr>
            <w:r w:rsidRPr="0098038C">
              <w:rPr>
                <w:sz w:val="24"/>
                <w:szCs w:val="24"/>
              </w:rPr>
              <w:t>8</w:t>
            </w:r>
          </w:p>
        </w:tc>
        <w:tc>
          <w:tcPr>
            <w:tcW w:w="3122" w:type="dxa"/>
            <w:noWrap/>
            <w:hideMark/>
          </w:tcPr>
          <w:p w:rsidR="008D7073" w:rsidRPr="0098038C" w:rsidRDefault="008D7073" w:rsidP="00BF6C3A">
            <w:pPr>
              <w:pStyle w:val="PlainText"/>
              <w:rPr>
                <w:sz w:val="24"/>
                <w:szCs w:val="24"/>
              </w:rPr>
            </w:pPr>
            <w:r w:rsidRPr="0098038C">
              <w:rPr>
                <w:sz w:val="24"/>
                <w:szCs w:val="24"/>
              </w:rPr>
              <w:t>Transnational Institute</w:t>
            </w:r>
          </w:p>
        </w:tc>
        <w:tc>
          <w:tcPr>
            <w:tcW w:w="5958" w:type="dxa"/>
            <w:noWrap/>
            <w:hideMark/>
          </w:tcPr>
          <w:p w:rsidR="008D7073" w:rsidRPr="0098038C" w:rsidRDefault="008D7073" w:rsidP="00BF6C3A">
            <w:pPr>
              <w:pStyle w:val="PlainText"/>
              <w:rPr>
                <w:sz w:val="24"/>
                <w:szCs w:val="24"/>
              </w:rPr>
            </w:pPr>
            <w:r w:rsidRPr="0098038C">
              <w:rPr>
                <w:sz w:val="24"/>
                <w:szCs w:val="24"/>
              </w:rPr>
              <w:t>The Transnational Institute (TNI) of Policy Studies carries out radical informed analysis on critical global issues builds alliances with social movements develops proposals for a more sustainable, just and democratic world.</w:t>
            </w:r>
          </w:p>
        </w:tc>
      </w:tr>
      <w:tr w:rsidR="008D7073" w:rsidRPr="0098038C" w:rsidTr="008D7073">
        <w:trPr>
          <w:trHeight w:val="945"/>
        </w:trPr>
        <w:tc>
          <w:tcPr>
            <w:tcW w:w="496" w:type="dxa"/>
            <w:noWrap/>
            <w:hideMark/>
          </w:tcPr>
          <w:p w:rsidR="008D7073" w:rsidRPr="0098038C" w:rsidRDefault="008D7073" w:rsidP="00BF6C3A">
            <w:pPr>
              <w:pStyle w:val="PlainText"/>
              <w:rPr>
                <w:sz w:val="24"/>
                <w:szCs w:val="24"/>
              </w:rPr>
            </w:pPr>
            <w:r w:rsidRPr="0098038C">
              <w:rPr>
                <w:sz w:val="24"/>
                <w:szCs w:val="24"/>
              </w:rPr>
              <w:t>9</w:t>
            </w:r>
          </w:p>
        </w:tc>
        <w:tc>
          <w:tcPr>
            <w:tcW w:w="3122" w:type="dxa"/>
            <w:noWrap/>
            <w:hideMark/>
          </w:tcPr>
          <w:p w:rsidR="008D7073" w:rsidRPr="0098038C" w:rsidRDefault="008D7073" w:rsidP="00BF6C3A">
            <w:pPr>
              <w:pStyle w:val="PlainText"/>
              <w:rPr>
                <w:sz w:val="24"/>
                <w:szCs w:val="24"/>
              </w:rPr>
            </w:pPr>
            <w:r w:rsidRPr="0098038C">
              <w:rPr>
                <w:sz w:val="24"/>
                <w:szCs w:val="24"/>
              </w:rPr>
              <w:t>UNI Europa</w:t>
            </w:r>
          </w:p>
        </w:tc>
        <w:tc>
          <w:tcPr>
            <w:tcW w:w="5958" w:type="dxa"/>
            <w:noWrap/>
            <w:hideMark/>
          </w:tcPr>
          <w:p w:rsidR="008D7073" w:rsidRPr="0098038C" w:rsidRDefault="008D7073" w:rsidP="00BF6C3A">
            <w:pPr>
              <w:pStyle w:val="PlainText"/>
              <w:rPr>
                <w:sz w:val="24"/>
                <w:szCs w:val="24"/>
              </w:rPr>
            </w:pPr>
            <w:r w:rsidRPr="0098038C">
              <w:rPr>
                <w:sz w:val="24"/>
                <w:szCs w:val="24"/>
              </w:rPr>
              <w:t>UNI Europa is a European trade union federation for services and communication. It represents 7 million workers in 330 European trade unions.</w:t>
            </w:r>
          </w:p>
        </w:tc>
      </w:tr>
      <w:tr w:rsidR="008D7073" w:rsidRPr="0098038C" w:rsidTr="008D7073">
        <w:trPr>
          <w:trHeight w:val="1890"/>
        </w:trPr>
        <w:tc>
          <w:tcPr>
            <w:tcW w:w="496" w:type="dxa"/>
            <w:noWrap/>
            <w:hideMark/>
          </w:tcPr>
          <w:p w:rsidR="008D7073" w:rsidRPr="0098038C" w:rsidRDefault="008D7073" w:rsidP="00BF6C3A">
            <w:pPr>
              <w:pStyle w:val="PlainText"/>
              <w:rPr>
                <w:sz w:val="24"/>
                <w:szCs w:val="24"/>
              </w:rPr>
            </w:pPr>
            <w:r w:rsidRPr="0098038C">
              <w:rPr>
                <w:sz w:val="24"/>
                <w:szCs w:val="24"/>
              </w:rPr>
              <w:lastRenderedPageBreak/>
              <w:t>10</w:t>
            </w:r>
          </w:p>
        </w:tc>
        <w:tc>
          <w:tcPr>
            <w:tcW w:w="3122" w:type="dxa"/>
            <w:noWrap/>
            <w:hideMark/>
          </w:tcPr>
          <w:p w:rsidR="008D7073" w:rsidRPr="0098038C" w:rsidRDefault="008D7073" w:rsidP="00BF6C3A">
            <w:pPr>
              <w:pStyle w:val="PlainText"/>
              <w:rPr>
                <w:sz w:val="24"/>
                <w:szCs w:val="24"/>
              </w:rPr>
            </w:pPr>
            <w:r w:rsidRPr="0098038C">
              <w:rPr>
                <w:sz w:val="24"/>
                <w:szCs w:val="24"/>
              </w:rPr>
              <w:t>UNI Global Union</w:t>
            </w:r>
          </w:p>
        </w:tc>
        <w:tc>
          <w:tcPr>
            <w:tcW w:w="5958" w:type="dxa"/>
            <w:noWrap/>
            <w:hideMark/>
          </w:tcPr>
          <w:p w:rsidR="008D7073" w:rsidRPr="0098038C" w:rsidRDefault="008D7073" w:rsidP="00BF6C3A">
            <w:pPr>
              <w:pStyle w:val="PlainText"/>
              <w:rPr>
                <w:sz w:val="24"/>
                <w:szCs w:val="24"/>
              </w:rPr>
            </w:pPr>
            <w:r w:rsidRPr="0098038C">
              <w:rPr>
                <w:sz w:val="24"/>
                <w:szCs w:val="24"/>
              </w:rPr>
              <w:t>UNI Global Union is the voice of 20 million service sector workers around the world. Through 900 affiliated unions, in 150 countries  UNI represents workers in the Cleaning &amp; Security; Commerce; Finance; Gaming; Graphical &amp; Packaging; Hair &amp; Beauty; ICTS; Media, Entertainment &amp; Arts; Post &amp; Logistics; Social Insurance; Sport; Temp &amp; Agency Workers and Tourism industries.</w:t>
            </w:r>
          </w:p>
        </w:tc>
      </w:tr>
    </w:tbl>
    <w:p w:rsidR="002B71C5" w:rsidRDefault="002B71C5" w:rsidP="00BF6C3A">
      <w:pPr>
        <w:pStyle w:val="PlainText"/>
        <w:rPr>
          <w:sz w:val="24"/>
          <w:szCs w:val="24"/>
        </w:rPr>
      </w:pPr>
    </w:p>
    <w:tbl>
      <w:tblPr>
        <w:tblStyle w:val="TableGrid"/>
        <w:tblW w:w="9728" w:type="dxa"/>
        <w:tblLook w:val="04A0" w:firstRow="1" w:lastRow="0" w:firstColumn="1" w:lastColumn="0" w:noHBand="0" w:noVBand="1"/>
      </w:tblPr>
      <w:tblGrid>
        <w:gridCol w:w="636"/>
        <w:gridCol w:w="7461"/>
        <w:gridCol w:w="1631"/>
      </w:tblGrid>
      <w:tr w:rsidR="0098038C" w:rsidRPr="0098038C" w:rsidTr="0098038C">
        <w:trPr>
          <w:trHeight w:val="315"/>
        </w:trPr>
        <w:tc>
          <w:tcPr>
            <w:tcW w:w="636" w:type="dxa"/>
            <w:noWrap/>
            <w:hideMark/>
          </w:tcPr>
          <w:p w:rsidR="0098038C" w:rsidRPr="0098038C" w:rsidRDefault="0098038C" w:rsidP="00BF6C3A">
            <w:pPr>
              <w:pStyle w:val="PlainText"/>
              <w:rPr>
                <w:sz w:val="24"/>
                <w:szCs w:val="24"/>
              </w:rPr>
            </w:pPr>
            <w:r w:rsidRPr="0098038C">
              <w:rPr>
                <w:sz w:val="24"/>
                <w:szCs w:val="24"/>
              </w:rPr>
              <w:t> </w:t>
            </w:r>
          </w:p>
        </w:tc>
        <w:tc>
          <w:tcPr>
            <w:tcW w:w="7461" w:type="dxa"/>
            <w:noWrap/>
            <w:hideMark/>
          </w:tcPr>
          <w:p w:rsidR="0098038C" w:rsidRPr="0098038C" w:rsidRDefault="0098038C" w:rsidP="00BF6C3A">
            <w:pPr>
              <w:pStyle w:val="PlainText"/>
              <w:rPr>
                <w:b/>
                <w:bCs/>
                <w:sz w:val="24"/>
                <w:szCs w:val="24"/>
              </w:rPr>
            </w:pPr>
            <w:r w:rsidRPr="0098038C">
              <w:rPr>
                <w:b/>
                <w:bCs/>
                <w:sz w:val="24"/>
                <w:szCs w:val="24"/>
              </w:rPr>
              <w:t>National Organizations</w:t>
            </w:r>
          </w:p>
        </w:tc>
        <w:tc>
          <w:tcPr>
            <w:tcW w:w="1631" w:type="dxa"/>
            <w:noWrap/>
            <w:hideMark/>
          </w:tcPr>
          <w:p w:rsidR="0098038C" w:rsidRPr="0098038C" w:rsidRDefault="0098038C" w:rsidP="00BF6C3A">
            <w:pPr>
              <w:pStyle w:val="PlainText"/>
              <w:rPr>
                <w:sz w:val="24"/>
                <w:szCs w:val="24"/>
              </w:rPr>
            </w:pPr>
            <w:r w:rsidRPr="0098038C">
              <w:rPr>
                <w:sz w:val="24"/>
                <w:szCs w:val="24"/>
              </w:rPr>
              <w:t> </w:t>
            </w:r>
          </w:p>
        </w:tc>
      </w:tr>
      <w:tr w:rsidR="0098038C" w:rsidRPr="0098038C" w:rsidTr="0098038C">
        <w:trPr>
          <w:trHeight w:val="315"/>
        </w:trPr>
        <w:tc>
          <w:tcPr>
            <w:tcW w:w="636" w:type="dxa"/>
            <w:noWrap/>
            <w:hideMark/>
          </w:tcPr>
          <w:p w:rsidR="0098038C" w:rsidRPr="0098038C" w:rsidRDefault="0098038C" w:rsidP="00BF6C3A">
            <w:pPr>
              <w:pStyle w:val="PlainText"/>
              <w:rPr>
                <w:sz w:val="24"/>
                <w:szCs w:val="24"/>
              </w:rPr>
            </w:pPr>
            <w:r w:rsidRPr="0098038C">
              <w:rPr>
                <w:sz w:val="24"/>
                <w:szCs w:val="24"/>
              </w:rPr>
              <w:t>11</w:t>
            </w:r>
          </w:p>
        </w:tc>
        <w:tc>
          <w:tcPr>
            <w:tcW w:w="7461" w:type="dxa"/>
            <w:noWrap/>
            <w:hideMark/>
          </w:tcPr>
          <w:p w:rsidR="0098038C" w:rsidRPr="0098038C" w:rsidRDefault="0098038C" w:rsidP="00BF6C3A">
            <w:pPr>
              <w:pStyle w:val="PlainText"/>
              <w:rPr>
                <w:sz w:val="24"/>
                <w:szCs w:val="24"/>
              </w:rPr>
            </w:pPr>
            <w:r w:rsidRPr="0098038C">
              <w:rPr>
                <w:sz w:val="24"/>
                <w:szCs w:val="24"/>
              </w:rPr>
              <w:t>11.11.11</w:t>
            </w:r>
          </w:p>
        </w:tc>
        <w:tc>
          <w:tcPr>
            <w:tcW w:w="1631" w:type="dxa"/>
            <w:noWrap/>
            <w:hideMark/>
          </w:tcPr>
          <w:p w:rsidR="0098038C" w:rsidRPr="0098038C" w:rsidRDefault="0098038C" w:rsidP="00BF6C3A">
            <w:pPr>
              <w:pStyle w:val="PlainText"/>
              <w:rPr>
                <w:sz w:val="24"/>
                <w:szCs w:val="24"/>
              </w:rPr>
            </w:pPr>
            <w:r w:rsidRPr="0098038C">
              <w:rPr>
                <w:sz w:val="24"/>
                <w:szCs w:val="24"/>
              </w:rPr>
              <w:t>Belgium</w:t>
            </w:r>
          </w:p>
        </w:tc>
      </w:tr>
      <w:tr w:rsidR="0098038C" w:rsidRPr="0098038C" w:rsidTr="0098038C">
        <w:trPr>
          <w:trHeight w:val="315"/>
        </w:trPr>
        <w:tc>
          <w:tcPr>
            <w:tcW w:w="636" w:type="dxa"/>
            <w:noWrap/>
            <w:hideMark/>
          </w:tcPr>
          <w:p w:rsidR="0098038C" w:rsidRPr="0098038C" w:rsidRDefault="0098038C" w:rsidP="00BF6C3A">
            <w:pPr>
              <w:pStyle w:val="PlainText"/>
              <w:rPr>
                <w:sz w:val="24"/>
                <w:szCs w:val="24"/>
              </w:rPr>
            </w:pPr>
            <w:r w:rsidRPr="0098038C">
              <w:rPr>
                <w:sz w:val="24"/>
                <w:szCs w:val="24"/>
              </w:rPr>
              <w:t>12</w:t>
            </w:r>
          </w:p>
        </w:tc>
        <w:tc>
          <w:tcPr>
            <w:tcW w:w="7461" w:type="dxa"/>
            <w:noWrap/>
            <w:hideMark/>
          </w:tcPr>
          <w:p w:rsidR="0098038C" w:rsidRPr="0098038C" w:rsidRDefault="0098038C" w:rsidP="00BF6C3A">
            <w:pPr>
              <w:pStyle w:val="PlainText"/>
              <w:rPr>
                <w:sz w:val="24"/>
                <w:szCs w:val="24"/>
              </w:rPr>
            </w:pPr>
            <w:r w:rsidRPr="0098038C">
              <w:rPr>
                <w:sz w:val="24"/>
                <w:szCs w:val="24"/>
              </w:rPr>
              <w:t>Alliance Sud</w:t>
            </w:r>
          </w:p>
        </w:tc>
        <w:tc>
          <w:tcPr>
            <w:tcW w:w="1631" w:type="dxa"/>
            <w:noWrap/>
            <w:hideMark/>
          </w:tcPr>
          <w:p w:rsidR="0098038C" w:rsidRPr="0098038C" w:rsidRDefault="0098038C" w:rsidP="00BF6C3A">
            <w:pPr>
              <w:pStyle w:val="PlainText"/>
              <w:rPr>
                <w:sz w:val="24"/>
                <w:szCs w:val="24"/>
              </w:rPr>
            </w:pPr>
            <w:r w:rsidRPr="0098038C">
              <w:rPr>
                <w:sz w:val="24"/>
                <w:szCs w:val="24"/>
              </w:rPr>
              <w:t>Switzerland</w:t>
            </w:r>
          </w:p>
        </w:tc>
      </w:tr>
      <w:tr w:rsidR="0098038C" w:rsidRPr="0098038C" w:rsidTr="0098038C">
        <w:trPr>
          <w:trHeight w:val="315"/>
        </w:trPr>
        <w:tc>
          <w:tcPr>
            <w:tcW w:w="636" w:type="dxa"/>
            <w:noWrap/>
            <w:hideMark/>
          </w:tcPr>
          <w:p w:rsidR="0098038C" w:rsidRPr="0098038C" w:rsidRDefault="0098038C" w:rsidP="00BF6C3A">
            <w:pPr>
              <w:pStyle w:val="PlainText"/>
              <w:rPr>
                <w:sz w:val="24"/>
                <w:szCs w:val="24"/>
              </w:rPr>
            </w:pPr>
            <w:r w:rsidRPr="0098038C">
              <w:rPr>
                <w:sz w:val="24"/>
                <w:szCs w:val="24"/>
              </w:rPr>
              <w:t>13</w:t>
            </w:r>
          </w:p>
        </w:tc>
        <w:tc>
          <w:tcPr>
            <w:tcW w:w="7461" w:type="dxa"/>
            <w:noWrap/>
            <w:hideMark/>
          </w:tcPr>
          <w:p w:rsidR="0098038C" w:rsidRPr="0098038C" w:rsidRDefault="0098038C" w:rsidP="00BF6C3A">
            <w:pPr>
              <w:pStyle w:val="PlainText"/>
              <w:rPr>
                <w:sz w:val="24"/>
                <w:szCs w:val="24"/>
              </w:rPr>
            </w:pPr>
            <w:r w:rsidRPr="0098038C">
              <w:rPr>
                <w:sz w:val="24"/>
                <w:szCs w:val="24"/>
              </w:rPr>
              <w:t>All Nepal Peasants Federation</w:t>
            </w:r>
          </w:p>
        </w:tc>
        <w:tc>
          <w:tcPr>
            <w:tcW w:w="1631" w:type="dxa"/>
            <w:noWrap/>
            <w:hideMark/>
          </w:tcPr>
          <w:p w:rsidR="0098038C" w:rsidRPr="0098038C" w:rsidRDefault="0098038C" w:rsidP="00BF6C3A">
            <w:pPr>
              <w:pStyle w:val="PlainText"/>
              <w:rPr>
                <w:sz w:val="24"/>
                <w:szCs w:val="24"/>
              </w:rPr>
            </w:pPr>
            <w:r w:rsidRPr="0098038C">
              <w:rPr>
                <w:sz w:val="24"/>
                <w:szCs w:val="24"/>
              </w:rPr>
              <w:t>Nepal</w:t>
            </w:r>
          </w:p>
        </w:tc>
      </w:tr>
      <w:tr w:rsidR="0098038C" w:rsidRPr="0098038C" w:rsidTr="0098038C">
        <w:trPr>
          <w:trHeight w:val="315"/>
        </w:trPr>
        <w:tc>
          <w:tcPr>
            <w:tcW w:w="636" w:type="dxa"/>
            <w:noWrap/>
            <w:hideMark/>
          </w:tcPr>
          <w:p w:rsidR="0098038C" w:rsidRPr="0098038C" w:rsidRDefault="0098038C" w:rsidP="00BF6C3A">
            <w:pPr>
              <w:pStyle w:val="PlainText"/>
              <w:rPr>
                <w:sz w:val="24"/>
                <w:szCs w:val="24"/>
              </w:rPr>
            </w:pPr>
            <w:r w:rsidRPr="0098038C">
              <w:rPr>
                <w:sz w:val="24"/>
                <w:szCs w:val="24"/>
              </w:rPr>
              <w:t>14</w:t>
            </w:r>
          </w:p>
        </w:tc>
        <w:tc>
          <w:tcPr>
            <w:tcW w:w="7461" w:type="dxa"/>
            <w:noWrap/>
            <w:hideMark/>
          </w:tcPr>
          <w:p w:rsidR="0098038C" w:rsidRPr="0098038C" w:rsidRDefault="0098038C" w:rsidP="00BF6C3A">
            <w:pPr>
              <w:pStyle w:val="PlainText"/>
              <w:rPr>
                <w:sz w:val="24"/>
                <w:szCs w:val="24"/>
              </w:rPr>
            </w:pPr>
            <w:r w:rsidRPr="0098038C">
              <w:rPr>
                <w:sz w:val="24"/>
                <w:szCs w:val="24"/>
              </w:rPr>
              <w:t>Argentine Federation Of Commerce And Services Workers (</w:t>
            </w:r>
            <w:proofErr w:type="spellStart"/>
            <w:r w:rsidRPr="0098038C">
              <w:rPr>
                <w:sz w:val="24"/>
                <w:szCs w:val="24"/>
              </w:rPr>
              <w:t>FAECyS</w:t>
            </w:r>
            <w:proofErr w:type="spellEnd"/>
            <w:r w:rsidRPr="0098038C">
              <w:rPr>
                <w:sz w:val="24"/>
                <w:szCs w:val="24"/>
              </w:rPr>
              <w:t>)</w:t>
            </w:r>
          </w:p>
        </w:tc>
        <w:tc>
          <w:tcPr>
            <w:tcW w:w="1631" w:type="dxa"/>
            <w:noWrap/>
            <w:hideMark/>
          </w:tcPr>
          <w:p w:rsidR="0098038C" w:rsidRPr="0098038C" w:rsidRDefault="0098038C" w:rsidP="00BF6C3A">
            <w:pPr>
              <w:pStyle w:val="PlainText"/>
              <w:rPr>
                <w:sz w:val="24"/>
                <w:szCs w:val="24"/>
              </w:rPr>
            </w:pPr>
            <w:r w:rsidRPr="0098038C">
              <w:rPr>
                <w:sz w:val="24"/>
                <w:szCs w:val="24"/>
              </w:rPr>
              <w:t>Argentina</w:t>
            </w:r>
          </w:p>
        </w:tc>
      </w:tr>
      <w:tr w:rsidR="0098038C" w:rsidRPr="0098038C" w:rsidTr="0098038C">
        <w:trPr>
          <w:trHeight w:val="315"/>
        </w:trPr>
        <w:tc>
          <w:tcPr>
            <w:tcW w:w="636" w:type="dxa"/>
            <w:noWrap/>
            <w:hideMark/>
          </w:tcPr>
          <w:p w:rsidR="0098038C" w:rsidRPr="0098038C" w:rsidRDefault="0098038C" w:rsidP="00BF6C3A">
            <w:pPr>
              <w:pStyle w:val="PlainText"/>
              <w:rPr>
                <w:sz w:val="24"/>
                <w:szCs w:val="24"/>
              </w:rPr>
            </w:pPr>
            <w:r w:rsidRPr="0098038C">
              <w:rPr>
                <w:sz w:val="24"/>
                <w:szCs w:val="24"/>
              </w:rPr>
              <w:t>15</w:t>
            </w:r>
          </w:p>
        </w:tc>
        <w:tc>
          <w:tcPr>
            <w:tcW w:w="7461" w:type="dxa"/>
            <w:noWrap/>
            <w:hideMark/>
          </w:tcPr>
          <w:p w:rsidR="0098038C" w:rsidRPr="0098038C" w:rsidRDefault="0098038C" w:rsidP="00BF6C3A">
            <w:pPr>
              <w:pStyle w:val="PlainText"/>
              <w:rPr>
                <w:sz w:val="24"/>
                <w:szCs w:val="24"/>
              </w:rPr>
            </w:pPr>
            <w:r w:rsidRPr="0098038C">
              <w:rPr>
                <w:sz w:val="24"/>
                <w:szCs w:val="24"/>
              </w:rPr>
              <w:t>Australian Fair Trade and investment Network</w:t>
            </w:r>
          </w:p>
        </w:tc>
        <w:tc>
          <w:tcPr>
            <w:tcW w:w="1631" w:type="dxa"/>
            <w:noWrap/>
            <w:hideMark/>
          </w:tcPr>
          <w:p w:rsidR="0098038C" w:rsidRPr="0098038C" w:rsidRDefault="0098038C" w:rsidP="00BF6C3A">
            <w:pPr>
              <w:pStyle w:val="PlainText"/>
              <w:rPr>
                <w:sz w:val="24"/>
                <w:szCs w:val="24"/>
              </w:rPr>
            </w:pPr>
            <w:r w:rsidRPr="0098038C">
              <w:rPr>
                <w:sz w:val="24"/>
                <w:szCs w:val="24"/>
              </w:rPr>
              <w:t>Australia</w:t>
            </w:r>
          </w:p>
        </w:tc>
      </w:tr>
      <w:tr w:rsidR="0098038C" w:rsidRPr="0098038C" w:rsidTr="0098038C">
        <w:trPr>
          <w:trHeight w:val="315"/>
        </w:trPr>
        <w:tc>
          <w:tcPr>
            <w:tcW w:w="636" w:type="dxa"/>
            <w:noWrap/>
            <w:hideMark/>
          </w:tcPr>
          <w:p w:rsidR="0098038C" w:rsidRPr="0098038C" w:rsidRDefault="0098038C" w:rsidP="00BF6C3A">
            <w:pPr>
              <w:pStyle w:val="PlainText"/>
              <w:rPr>
                <w:sz w:val="24"/>
                <w:szCs w:val="24"/>
              </w:rPr>
            </w:pPr>
            <w:r w:rsidRPr="0098038C">
              <w:rPr>
                <w:sz w:val="24"/>
                <w:szCs w:val="24"/>
              </w:rPr>
              <w:t>16</w:t>
            </w:r>
          </w:p>
        </w:tc>
        <w:tc>
          <w:tcPr>
            <w:tcW w:w="7461" w:type="dxa"/>
            <w:noWrap/>
            <w:hideMark/>
          </w:tcPr>
          <w:p w:rsidR="0098038C" w:rsidRPr="0098038C" w:rsidRDefault="0098038C" w:rsidP="00BF6C3A">
            <w:pPr>
              <w:pStyle w:val="PlainText"/>
              <w:rPr>
                <w:sz w:val="24"/>
                <w:szCs w:val="24"/>
              </w:rPr>
            </w:pPr>
            <w:r w:rsidRPr="0098038C">
              <w:rPr>
                <w:sz w:val="24"/>
                <w:szCs w:val="24"/>
              </w:rPr>
              <w:t>Bharatiya Krishak Samaj</w:t>
            </w:r>
          </w:p>
        </w:tc>
        <w:tc>
          <w:tcPr>
            <w:tcW w:w="1631" w:type="dxa"/>
            <w:noWrap/>
            <w:hideMark/>
          </w:tcPr>
          <w:p w:rsidR="0098038C" w:rsidRPr="0098038C" w:rsidRDefault="0098038C" w:rsidP="00BF6C3A">
            <w:pPr>
              <w:pStyle w:val="PlainText"/>
              <w:rPr>
                <w:sz w:val="24"/>
                <w:szCs w:val="24"/>
              </w:rPr>
            </w:pPr>
            <w:r w:rsidRPr="0098038C">
              <w:rPr>
                <w:sz w:val="24"/>
                <w:szCs w:val="24"/>
              </w:rPr>
              <w:t>India</w:t>
            </w:r>
          </w:p>
        </w:tc>
      </w:tr>
      <w:tr w:rsidR="0098038C" w:rsidRPr="0098038C" w:rsidTr="0098038C">
        <w:trPr>
          <w:trHeight w:val="315"/>
        </w:trPr>
        <w:tc>
          <w:tcPr>
            <w:tcW w:w="636" w:type="dxa"/>
            <w:noWrap/>
            <w:hideMark/>
          </w:tcPr>
          <w:p w:rsidR="0098038C" w:rsidRPr="0098038C" w:rsidRDefault="0098038C" w:rsidP="00BF6C3A">
            <w:pPr>
              <w:pStyle w:val="PlainText"/>
              <w:rPr>
                <w:sz w:val="24"/>
                <w:szCs w:val="24"/>
              </w:rPr>
            </w:pPr>
            <w:r w:rsidRPr="0098038C">
              <w:rPr>
                <w:sz w:val="24"/>
                <w:szCs w:val="24"/>
              </w:rPr>
              <w:t>17</w:t>
            </w:r>
          </w:p>
        </w:tc>
        <w:tc>
          <w:tcPr>
            <w:tcW w:w="7461" w:type="dxa"/>
            <w:noWrap/>
            <w:hideMark/>
          </w:tcPr>
          <w:p w:rsidR="0098038C" w:rsidRPr="00767805" w:rsidRDefault="0098038C" w:rsidP="00BF6C3A">
            <w:pPr>
              <w:pStyle w:val="PlainText"/>
              <w:rPr>
                <w:sz w:val="24"/>
                <w:szCs w:val="24"/>
                <w:lang w:val="es-VE"/>
              </w:rPr>
            </w:pPr>
            <w:proofErr w:type="spellStart"/>
            <w:r w:rsidRPr="00767805">
              <w:rPr>
                <w:sz w:val="24"/>
                <w:szCs w:val="24"/>
                <w:lang w:val="es-VE"/>
              </w:rPr>
              <w:t>Bia´lii</w:t>
            </w:r>
            <w:proofErr w:type="spellEnd"/>
            <w:r w:rsidRPr="00767805">
              <w:rPr>
                <w:sz w:val="24"/>
                <w:szCs w:val="24"/>
                <w:lang w:val="es-VE"/>
              </w:rPr>
              <w:t>, Asesoría e Investigación, A.C.</w:t>
            </w:r>
          </w:p>
        </w:tc>
        <w:tc>
          <w:tcPr>
            <w:tcW w:w="1631" w:type="dxa"/>
            <w:noWrap/>
            <w:hideMark/>
          </w:tcPr>
          <w:p w:rsidR="0098038C" w:rsidRPr="0098038C" w:rsidRDefault="0098038C" w:rsidP="00BF6C3A">
            <w:pPr>
              <w:pStyle w:val="PlainText"/>
              <w:rPr>
                <w:sz w:val="24"/>
                <w:szCs w:val="24"/>
              </w:rPr>
            </w:pPr>
            <w:r w:rsidRPr="0098038C">
              <w:rPr>
                <w:sz w:val="24"/>
                <w:szCs w:val="24"/>
              </w:rPr>
              <w:t>Mexico</w:t>
            </w:r>
          </w:p>
        </w:tc>
      </w:tr>
      <w:tr w:rsidR="0098038C" w:rsidRPr="0098038C" w:rsidTr="0098038C">
        <w:trPr>
          <w:trHeight w:val="315"/>
        </w:trPr>
        <w:tc>
          <w:tcPr>
            <w:tcW w:w="636" w:type="dxa"/>
            <w:noWrap/>
            <w:hideMark/>
          </w:tcPr>
          <w:p w:rsidR="0098038C" w:rsidRPr="0098038C" w:rsidRDefault="0098038C" w:rsidP="00BF6C3A">
            <w:pPr>
              <w:pStyle w:val="PlainText"/>
              <w:rPr>
                <w:sz w:val="24"/>
                <w:szCs w:val="24"/>
              </w:rPr>
            </w:pPr>
            <w:r w:rsidRPr="0098038C">
              <w:rPr>
                <w:sz w:val="24"/>
                <w:szCs w:val="24"/>
              </w:rPr>
              <w:t>18</w:t>
            </w:r>
          </w:p>
        </w:tc>
        <w:tc>
          <w:tcPr>
            <w:tcW w:w="7461" w:type="dxa"/>
            <w:noWrap/>
            <w:hideMark/>
          </w:tcPr>
          <w:p w:rsidR="0098038C" w:rsidRPr="0098038C" w:rsidRDefault="0098038C" w:rsidP="00BF6C3A">
            <w:pPr>
              <w:pStyle w:val="PlainText"/>
              <w:rPr>
                <w:sz w:val="24"/>
                <w:szCs w:val="24"/>
              </w:rPr>
            </w:pPr>
            <w:r w:rsidRPr="0098038C">
              <w:rPr>
                <w:sz w:val="24"/>
                <w:szCs w:val="24"/>
              </w:rPr>
              <w:t>Center for Encounter and Active Non-Violence</w:t>
            </w:r>
          </w:p>
        </w:tc>
        <w:tc>
          <w:tcPr>
            <w:tcW w:w="1631" w:type="dxa"/>
            <w:noWrap/>
            <w:hideMark/>
          </w:tcPr>
          <w:p w:rsidR="0098038C" w:rsidRPr="0098038C" w:rsidRDefault="0098038C" w:rsidP="00BF6C3A">
            <w:pPr>
              <w:pStyle w:val="PlainText"/>
              <w:rPr>
                <w:sz w:val="24"/>
                <w:szCs w:val="24"/>
              </w:rPr>
            </w:pPr>
            <w:r w:rsidRPr="0098038C">
              <w:rPr>
                <w:sz w:val="24"/>
                <w:szCs w:val="24"/>
              </w:rPr>
              <w:t>Austria</w:t>
            </w:r>
          </w:p>
        </w:tc>
      </w:tr>
      <w:tr w:rsidR="0098038C" w:rsidRPr="0098038C" w:rsidTr="0098038C">
        <w:trPr>
          <w:trHeight w:val="315"/>
        </w:trPr>
        <w:tc>
          <w:tcPr>
            <w:tcW w:w="636" w:type="dxa"/>
            <w:noWrap/>
            <w:hideMark/>
          </w:tcPr>
          <w:p w:rsidR="0098038C" w:rsidRPr="0098038C" w:rsidRDefault="0098038C" w:rsidP="00BF6C3A">
            <w:pPr>
              <w:pStyle w:val="PlainText"/>
              <w:rPr>
                <w:sz w:val="24"/>
                <w:szCs w:val="24"/>
              </w:rPr>
            </w:pPr>
            <w:r w:rsidRPr="0098038C">
              <w:rPr>
                <w:sz w:val="24"/>
                <w:szCs w:val="24"/>
              </w:rPr>
              <w:t>19</w:t>
            </w:r>
          </w:p>
        </w:tc>
        <w:tc>
          <w:tcPr>
            <w:tcW w:w="7461" w:type="dxa"/>
            <w:noWrap/>
            <w:hideMark/>
          </w:tcPr>
          <w:p w:rsidR="0098038C" w:rsidRPr="0098038C" w:rsidRDefault="0098038C" w:rsidP="00BF6C3A">
            <w:pPr>
              <w:pStyle w:val="PlainText"/>
              <w:rPr>
                <w:sz w:val="24"/>
                <w:szCs w:val="24"/>
              </w:rPr>
            </w:pPr>
            <w:r w:rsidRPr="0098038C">
              <w:rPr>
                <w:sz w:val="24"/>
                <w:szCs w:val="24"/>
              </w:rPr>
              <w:t xml:space="preserve">Coalition </w:t>
            </w:r>
            <w:proofErr w:type="spellStart"/>
            <w:r w:rsidRPr="0098038C">
              <w:rPr>
                <w:sz w:val="24"/>
                <w:szCs w:val="24"/>
              </w:rPr>
              <w:t>Paysanne</w:t>
            </w:r>
            <w:proofErr w:type="spellEnd"/>
            <w:r w:rsidRPr="0098038C">
              <w:rPr>
                <w:sz w:val="24"/>
                <w:szCs w:val="24"/>
              </w:rPr>
              <w:t xml:space="preserve"> de Madagascar.</w:t>
            </w:r>
          </w:p>
        </w:tc>
        <w:tc>
          <w:tcPr>
            <w:tcW w:w="1631" w:type="dxa"/>
            <w:noWrap/>
            <w:hideMark/>
          </w:tcPr>
          <w:p w:rsidR="0098038C" w:rsidRPr="0098038C" w:rsidRDefault="0098038C" w:rsidP="00BF6C3A">
            <w:pPr>
              <w:pStyle w:val="PlainText"/>
              <w:rPr>
                <w:sz w:val="24"/>
                <w:szCs w:val="24"/>
              </w:rPr>
            </w:pPr>
            <w:r w:rsidRPr="0098038C">
              <w:rPr>
                <w:sz w:val="24"/>
                <w:szCs w:val="24"/>
              </w:rPr>
              <w:t>Madagascar</w:t>
            </w:r>
          </w:p>
        </w:tc>
      </w:tr>
      <w:tr w:rsidR="0098038C" w:rsidRPr="0098038C" w:rsidTr="0098038C">
        <w:trPr>
          <w:trHeight w:val="315"/>
        </w:trPr>
        <w:tc>
          <w:tcPr>
            <w:tcW w:w="636" w:type="dxa"/>
            <w:noWrap/>
            <w:hideMark/>
          </w:tcPr>
          <w:p w:rsidR="0098038C" w:rsidRPr="0098038C" w:rsidRDefault="0098038C" w:rsidP="00BF6C3A">
            <w:pPr>
              <w:pStyle w:val="PlainText"/>
              <w:rPr>
                <w:sz w:val="24"/>
                <w:szCs w:val="24"/>
              </w:rPr>
            </w:pPr>
            <w:r w:rsidRPr="0098038C">
              <w:rPr>
                <w:sz w:val="24"/>
                <w:szCs w:val="24"/>
              </w:rPr>
              <w:t>20</w:t>
            </w:r>
          </w:p>
        </w:tc>
        <w:tc>
          <w:tcPr>
            <w:tcW w:w="7461" w:type="dxa"/>
            <w:noWrap/>
            <w:hideMark/>
          </w:tcPr>
          <w:p w:rsidR="0098038C" w:rsidRPr="0098038C" w:rsidRDefault="0098038C" w:rsidP="00BF6C3A">
            <w:pPr>
              <w:pStyle w:val="PlainText"/>
              <w:rPr>
                <w:sz w:val="24"/>
                <w:szCs w:val="24"/>
              </w:rPr>
            </w:pPr>
            <w:r w:rsidRPr="0098038C">
              <w:rPr>
                <w:sz w:val="24"/>
                <w:szCs w:val="24"/>
              </w:rPr>
              <w:t>Confederation of Labor and Allied Social Services (CLASS)</w:t>
            </w:r>
          </w:p>
        </w:tc>
        <w:tc>
          <w:tcPr>
            <w:tcW w:w="1631" w:type="dxa"/>
            <w:noWrap/>
            <w:hideMark/>
          </w:tcPr>
          <w:p w:rsidR="0098038C" w:rsidRPr="0098038C" w:rsidRDefault="0098038C" w:rsidP="00BF6C3A">
            <w:pPr>
              <w:pStyle w:val="PlainText"/>
              <w:rPr>
                <w:sz w:val="24"/>
                <w:szCs w:val="24"/>
              </w:rPr>
            </w:pPr>
            <w:r w:rsidRPr="0098038C">
              <w:rPr>
                <w:sz w:val="24"/>
                <w:szCs w:val="24"/>
              </w:rPr>
              <w:t>Philippines</w:t>
            </w:r>
          </w:p>
        </w:tc>
      </w:tr>
      <w:tr w:rsidR="0098038C" w:rsidRPr="0098038C" w:rsidTr="0098038C">
        <w:trPr>
          <w:trHeight w:val="315"/>
        </w:trPr>
        <w:tc>
          <w:tcPr>
            <w:tcW w:w="636" w:type="dxa"/>
            <w:noWrap/>
            <w:hideMark/>
          </w:tcPr>
          <w:p w:rsidR="0098038C" w:rsidRPr="0098038C" w:rsidRDefault="0098038C" w:rsidP="00BF6C3A">
            <w:pPr>
              <w:pStyle w:val="PlainText"/>
              <w:rPr>
                <w:sz w:val="24"/>
                <w:szCs w:val="24"/>
              </w:rPr>
            </w:pPr>
            <w:r w:rsidRPr="0098038C">
              <w:rPr>
                <w:sz w:val="24"/>
                <w:szCs w:val="24"/>
              </w:rPr>
              <w:t>21</w:t>
            </w:r>
          </w:p>
        </w:tc>
        <w:tc>
          <w:tcPr>
            <w:tcW w:w="7461" w:type="dxa"/>
            <w:noWrap/>
            <w:hideMark/>
          </w:tcPr>
          <w:p w:rsidR="0098038C" w:rsidRPr="0098038C" w:rsidRDefault="0098038C" w:rsidP="00BF6C3A">
            <w:pPr>
              <w:pStyle w:val="PlainText"/>
              <w:rPr>
                <w:sz w:val="24"/>
                <w:szCs w:val="24"/>
              </w:rPr>
            </w:pPr>
            <w:r w:rsidRPr="0098038C">
              <w:rPr>
                <w:sz w:val="24"/>
                <w:szCs w:val="24"/>
              </w:rPr>
              <w:t>Cordillera People's Alliance (CPA)</w:t>
            </w:r>
          </w:p>
        </w:tc>
        <w:tc>
          <w:tcPr>
            <w:tcW w:w="1631" w:type="dxa"/>
            <w:noWrap/>
            <w:hideMark/>
          </w:tcPr>
          <w:p w:rsidR="0098038C" w:rsidRPr="0098038C" w:rsidRDefault="0098038C" w:rsidP="00BF6C3A">
            <w:pPr>
              <w:pStyle w:val="PlainText"/>
              <w:rPr>
                <w:sz w:val="24"/>
                <w:szCs w:val="24"/>
              </w:rPr>
            </w:pPr>
            <w:r w:rsidRPr="0098038C">
              <w:rPr>
                <w:sz w:val="24"/>
                <w:szCs w:val="24"/>
              </w:rPr>
              <w:t>Philippines</w:t>
            </w:r>
          </w:p>
        </w:tc>
      </w:tr>
      <w:tr w:rsidR="0098038C" w:rsidRPr="0098038C" w:rsidTr="0098038C">
        <w:trPr>
          <w:trHeight w:val="315"/>
        </w:trPr>
        <w:tc>
          <w:tcPr>
            <w:tcW w:w="636" w:type="dxa"/>
            <w:noWrap/>
            <w:hideMark/>
          </w:tcPr>
          <w:p w:rsidR="0098038C" w:rsidRPr="0098038C" w:rsidRDefault="0098038C" w:rsidP="00BF6C3A">
            <w:pPr>
              <w:pStyle w:val="PlainText"/>
              <w:rPr>
                <w:sz w:val="24"/>
                <w:szCs w:val="24"/>
              </w:rPr>
            </w:pPr>
            <w:r w:rsidRPr="0098038C">
              <w:rPr>
                <w:sz w:val="24"/>
                <w:szCs w:val="24"/>
              </w:rPr>
              <w:t>22</w:t>
            </w:r>
          </w:p>
        </w:tc>
        <w:tc>
          <w:tcPr>
            <w:tcW w:w="7461" w:type="dxa"/>
            <w:noWrap/>
            <w:hideMark/>
          </w:tcPr>
          <w:p w:rsidR="0098038C" w:rsidRPr="0098038C" w:rsidRDefault="0098038C" w:rsidP="00BF6C3A">
            <w:pPr>
              <w:pStyle w:val="PlainText"/>
              <w:rPr>
                <w:sz w:val="24"/>
                <w:szCs w:val="24"/>
              </w:rPr>
            </w:pPr>
            <w:r w:rsidRPr="0098038C">
              <w:rPr>
                <w:sz w:val="24"/>
                <w:szCs w:val="24"/>
              </w:rPr>
              <w:t>Corporate Europe Observatory (CEO)</w:t>
            </w:r>
          </w:p>
        </w:tc>
        <w:tc>
          <w:tcPr>
            <w:tcW w:w="1631" w:type="dxa"/>
            <w:noWrap/>
            <w:hideMark/>
          </w:tcPr>
          <w:p w:rsidR="0098038C" w:rsidRPr="0098038C" w:rsidRDefault="0098038C" w:rsidP="00BF6C3A">
            <w:pPr>
              <w:pStyle w:val="PlainText"/>
              <w:rPr>
                <w:sz w:val="24"/>
                <w:szCs w:val="24"/>
              </w:rPr>
            </w:pPr>
            <w:r w:rsidRPr="0098038C">
              <w:rPr>
                <w:sz w:val="24"/>
                <w:szCs w:val="24"/>
              </w:rPr>
              <w:t>Belgium</w:t>
            </w:r>
          </w:p>
        </w:tc>
      </w:tr>
      <w:tr w:rsidR="0098038C" w:rsidRPr="0098038C" w:rsidTr="0098038C">
        <w:trPr>
          <w:trHeight w:val="315"/>
        </w:trPr>
        <w:tc>
          <w:tcPr>
            <w:tcW w:w="636" w:type="dxa"/>
            <w:noWrap/>
            <w:hideMark/>
          </w:tcPr>
          <w:p w:rsidR="0098038C" w:rsidRPr="0098038C" w:rsidRDefault="0098038C" w:rsidP="00BF6C3A">
            <w:pPr>
              <w:pStyle w:val="PlainText"/>
              <w:rPr>
                <w:sz w:val="24"/>
                <w:szCs w:val="24"/>
              </w:rPr>
            </w:pPr>
            <w:r w:rsidRPr="0098038C">
              <w:rPr>
                <w:sz w:val="24"/>
                <w:szCs w:val="24"/>
              </w:rPr>
              <w:t>23</w:t>
            </w:r>
          </w:p>
        </w:tc>
        <w:tc>
          <w:tcPr>
            <w:tcW w:w="7461" w:type="dxa"/>
            <w:noWrap/>
            <w:hideMark/>
          </w:tcPr>
          <w:p w:rsidR="0098038C" w:rsidRPr="0098038C" w:rsidRDefault="0098038C" w:rsidP="00BF6C3A">
            <w:pPr>
              <w:pStyle w:val="PlainText"/>
              <w:rPr>
                <w:sz w:val="24"/>
                <w:szCs w:val="24"/>
              </w:rPr>
            </w:pPr>
            <w:r w:rsidRPr="0098038C">
              <w:rPr>
                <w:sz w:val="24"/>
                <w:szCs w:val="24"/>
              </w:rPr>
              <w:t xml:space="preserve">Council of Canadians </w:t>
            </w:r>
          </w:p>
        </w:tc>
        <w:tc>
          <w:tcPr>
            <w:tcW w:w="1631" w:type="dxa"/>
            <w:noWrap/>
            <w:hideMark/>
          </w:tcPr>
          <w:p w:rsidR="0098038C" w:rsidRPr="0098038C" w:rsidRDefault="0098038C" w:rsidP="00BF6C3A">
            <w:pPr>
              <w:pStyle w:val="PlainText"/>
              <w:rPr>
                <w:sz w:val="24"/>
                <w:szCs w:val="24"/>
              </w:rPr>
            </w:pPr>
            <w:r w:rsidRPr="0098038C">
              <w:rPr>
                <w:sz w:val="24"/>
                <w:szCs w:val="24"/>
              </w:rPr>
              <w:t>Canada</w:t>
            </w:r>
          </w:p>
        </w:tc>
      </w:tr>
      <w:tr w:rsidR="0098038C" w:rsidRPr="0098038C" w:rsidTr="0098038C">
        <w:trPr>
          <w:trHeight w:val="630"/>
        </w:trPr>
        <w:tc>
          <w:tcPr>
            <w:tcW w:w="636" w:type="dxa"/>
            <w:noWrap/>
            <w:hideMark/>
          </w:tcPr>
          <w:p w:rsidR="0098038C" w:rsidRPr="0098038C" w:rsidRDefault="0098038C" w:rsidP="00BF6C3A">
            <w:pPr>
              <w:pStyle w:val="PlainText"/>
              <w:rPr>
                <w:sz w:val="24"/>
                <w:szCs w:val="24"/>
              </w:rPr>
            </w:pPr>
            <w:r w:rsidRPr="0098038C">
              <w:rPr>
                <w:sz w:val="24"/>
                <w:szCs w:val="24"/>
              </w:rPr>
              <w:t>24</w:t>
            </w:r>
          </w:p>
        </w:tc>
        <w:tc>
          <w:tcPr>
            <w:tcW w:w="7461" w:type="dxa"/>
            <w:noWrap/>
            <w:hideMark/>
          </w:tcPr>
          <w:p w:rsidR="0098038C" w:rsidRPr="0098038C" w:rsidRDefault="0098038C" w:rsidP="00BF6C3A">
            <w:pPr>
              <w:pStyle w:val="PlainText"/>
              <w:rPr>
                <w:sz w:val="24"/>
                <w:szCs w:val="24"/>
              </w:rPr>
            </w:pPr>
            <w:r w:rsidRPr="0098038C">
              <w:rPr>
                <w:sz w:val="24"/>
                <w:szCs w:val="24"/>
              </w:rPr>
              <w:t>Eastern and Southern Africa Small Scale Farmers Forum (ESAFF- Uganda)</w:t>
            </w:r>
          </w:p>
        </w:tc>
        <w:tc>
          <w:tcPr>
            <w:tcW w:w="1631" w:type="dxa"/>
            <w:noWrap/>
            <w:hideMark/>
          </w:tcPr>
          <w:p w:rsidR="0098038C" w:rsidRPr="0098038C" w:rsidRDefault="0098038C" w:rsidP="00BF6C3A">
            <w:pPr>
              <w:pStyle w:val="PlainText"/>
              <w:rPr>
                <w:sz w:val="24"/>
                <w:szCs w:val="24"/>
              </w:rPr>
            </w:pPr>
            <w:r w:rsidRPr="0098038C">
              <w:rPr>
                <w:sz w:val="24"/>
                <w:szCs w:val="24"/>
              </w:rPr>
              <w:t>Uganda</w:t>
            </w:r>
          </w:p>
        </w:tc>
      </w:tr>
      <w:tr w:rsidR="0098038C" w:rsidRPr="0098038C" w:rsidTr="0098038C">
        <w:trPr>
          <w:trHeight w:val="315"/>
        </w:trPr>
        <w:tc>
          <w:tcPr>
            <w:tcW w:w="636" w:type="dxa"/>
            <w:noWrap/>
            <w:hideMark/>
          </w:tcPr>
          <w:p w:rsidR="0098038C" w:rsidRPr="0098038C" w:rsidRDefault="0098038C" w:rsidP="00BF6C3A">
            <w:pPr>
              <w:pStyle w:val="PlainText"/>
              <w:rPr>
                <w:sz w:val="24"/>
                <w:szCs w:val="24"/>
              </w:rPr>
            </w:pPr>
            <w:r w:rsidRPr="0098038C">
              <w:rPr>
                <w:sz w:val="24"/>
                <w:szCs w:val="24"/>
              </w:rPr>
              <w:t>25</w:t>
            </w:r>
          </w:p>
        </w:tc>
        <w:tc>
          <w:tcPr>
            <w:tcW w:w="7461" w:type="dxa"/>
            <w:noWrap/>
            <w:hideMark/>
          </w:tcPr>
          <w:p w:rsidR="0098038C" w:rsidRPr="0098038C" w:rsidRDefault="0098038C" w:rsidP="00BF6C3A">
            <w:pPr>
              <w:pStyle w:val="PlainText"/>
              <w:rPr>
                <w:sz w:val="24"/>
                <w:szCs w:val="24"/>
              </w:rPr>
            </w:pPr>
            <w:r w:rsidRPr="0098038C">
              <w:rPr>
                <w:sz w:val="24"/>
                <w:szCs w:val="24"/>
              </w:rPr>
              <w:t>Eastern and Southern Africa Small Scale Farmers Forum (ESAFF)</w:t>
            </w:r>
          </w:p>
        </w:tc>
        <w:tc>
          <w:tcPr>
            <w:tcW w:w="1631" w:type="dxa"/>
            <w:noWrap/>
            <w:hideMark/>
          </w:tcPr>
          <w:p w:rsidR="0098038C" w:rsidRPr="0098038C" w:rsidRDefault="0098038C" w:rsidP="00BF6C3A">
            <w:pPr>
              <w:pStyle w:val="PlainText"/>
              <w:rPr>
                <w:sz w:val="24"/>
                <w:szCs w:val="24"/>
              </w:rPr>
            </w:pPr>
            <w:r w:rsidRPr="0098038C">
              <w:rPr>
                <w:sz w:val="24"/>
                <w:szCs w:val="24"/>
              </w:rPr>
              <w:t>Zambia</w:t>
            </w:r>
          </w:p>
        </w:tc>
      </w:tr>
      <w:tr w:rsidR="0098038C" w:rsidRPr="0098038C" w:rsidTr="0098038C">
        <w:trPr>
          <w:trHeight w:val="315"/>
        </w:trPr>
        <w:tc>
          <w:tcPr>
            <w:tcW w:w="636" w:type="dxa"/>
            <w:noWrap/>
            <w:hideMark/>
          </w:tcPr>
          <w:p w:rsidR="0098038C" w:rsidRPr="0098038C" w:rsidRDefault="0098038C" w:rsidP="00BF6C3A">
            <w:pPr>
              <w:pStyle w:val="PlainText"/>
              <w:rPr>
                <w:sz w:val="24"/>
                <w:szCs w:val="24"/>
              </w:rPr>
            </w:pPr>
            <w:r w:rsidRPr="0098038C">
              <w:rPr>
                <w:sz w:val="24"/>
                <w:szCs w:val="24"/>
              </w:rPr>
              <w:t>26</w:t>
            </w:r>
          </w:p>
        </w:tc>
        <w:tc>
          <w:tcPr>
            <w:tcW w:w="7461" w:type="dxa"/>
            <w:noWrap/>
            <w:hideMark/>
          </w:tcPr>
          <w:p w:rsidR="0098038C" w:rsidRPr="0098038C" w:rsidRDefault="0098038C" w:rsidP="00BF6C3A">
            <w:pPr>
              <w:pStyle w:val="PlainText"/>
              <w:rPr>
                <w:sz w:val="24"/>
                <w:szCs w:val="24"/>
              </w:rPr>
            </w:pPr>
            <w:r w:rsidRPr="0098038C">
              <w:rPr>
                <w:sz w:val="24"/>
                <w:szCs w:val="24"/>
              </w:rPr>
              <w:t>Eastern and Southern Africa Small Scale Farmers Forum (ESAFF)</w:t>
            </w:r>
          </w:p>
        </w:tc>
        <w:tc>
          <w:tcPr>
            <w:tcW w:w="1631" w:type="dxa"/>
            <w:noWrap/>
            <w:hideMark/>
          </w:tcPr>
          <w:p w:rsidR="0098038C" w:rsidRPr="0098038C" w:rsidRDefault="0098038C" w:rsidP="00BF6C3A">
            <w:pPr>
              <w:pStyle w:val="PlainText"/>
              <w:rPr>
                <w:sz w:val="24"/>
                <w:szCs w:val="24"/>
              </w:rPr>
            </w:pPr>
            <w:r w:rsidRPr="0098038C">
              <w:rPr>
                <w:sz w:val="24"/>
                <w:szCs w:val="24"/>
              </w:rPr>
              <w:t>Burundi</w:t>
            </w:r>
          </w:p>
        </w:tc>
      </w:tr>
      <w:tr w:rsidR="0098038C" w:rsidRPr="0098038C" w:rsidTr="0098038C">
        <w:trPr>
          <w:trHeight w:val="315"/>
        </w:trPr>
        <w:tc>
          <w:tcPr>
            <w:tcW w:w="636" w:type="dxa"/>
            <w:noWrap/>
            <w:hideMark/>
          </w:tcPr>
          <w:p w:rsidR="0098038C" w:rsidRPr="0098038C" w:rsidRDefault="0098038C" w:rsidP="00BF6C3A">
            <w:pPr>
              <w:pStyle w:val="PlainText"/>
              <w:rPr>
                <w:sz w:val="24"/>
                <w:szCs w:val="24"/>
              </w:rPr>
            </w:pPr>
            <w:r w:rsidRPr="0098038C">
              <w:rPr>
                <w:sz w:val="24"/>
                <w:szCs w:val="24"/>
              </w:rPr>
              <w:t>27</w:t>
            </w:r>
          </w:p>
        </w:tc>
        <w:tc>
          <w:tcPr>
            <w:tcW w:w="7461" w:type="dxa"/>
            <w:noWrap/>
            <w:hideMark/>
          </w:tcPr>
          <w:p w:rsidR="0098038C" w:rsidRPr="0098038C" w:rsidRDefault="0098038C" w:rsidP="00BF6C3A">
            <w:pPr>
              <w:pStyle w:val="PlainText"/>
              <w:rPr>
                <w:sz w:val="24"/>
                <w:szCs w:val="24"/>
              </w:rPr>
            </w:pPr>
            <w:r w:rsidRPr="0098038C">
              <w:rPr>
                <w:sz w:val="24"/>
                <w:szCs w:val="24"/>
              </w:rPr>
              <w:t>Eastern and Southern Africa Small Scale Farmers Forum (ESAFF)</w:t>
            </w:r>
          </w:p>
        </w:tc>
        <w:tc>
          <w:tcPr>
            <w:tcW w:w="1631" w:type="dxa"/>
            <w:noWrap/>
            <w:hideMark/>
          </w:tcPr>
          <w:p w:rsidR="0098038C" w:rsidRPr="0098038C" w:rsidRDefault="0098038C" w:rsidP="00BF6C3A">
            <w:pPr>
              <w:pStyle w:val="PlainText"/>
              <w:rPr>
                <w:sz w:val="24"/>
                <w:szCs w:val="24"/>
              </w:rPr>
            </w:pPr>
            <w:r w:rsidRPr="0098038C">
              <w:rPr>
                <w:sz w:val="24"/>
                <w:szCs w:val="24"/>
              </w:rPr>
              <w:t>Rwanda</w:t>
            </w:r>
          </w:p>
        </w:tc>
      </w:tr>
      <w:tr w:rsidR="0098038C" w:rsidRPr="0098038C" w:rsidTr="0098038C">
        <w:trPr>
          <w:trHeight w:val="315"/>
        </w:trPr>
        <w:tc>
          <w:tcPr>
            <w:tcW w:w="636" w:type="dxa"/>
            <w:noWrap/>
            <w:hideMark/>
          </w:tcPr>
          <w:p w:rsidR="0098038C" w:rsidRPr="0098038C" w:rsidRDefault="0098038C" w:rsidP="00BF6C3A">
            <w:pPr>
              <w:pStyle w:val="PlainText"/>
              <w:rPr>
                <w:sz w:val="24"/>
                <w:szCs w:val="24"/>
              </w:rPr>
            </w:pPr>
            <w:r w:rsidRPr="0098038C">
              <w:rPr>
                <w:sz w:val="24"/>
                <w:szCs w:val="24"/>
              </w:rPr>
              <w:t>28</w:t>
            </w:r>
          </w:p>
        </w:tc>
        <w:tc>
          <w:tcPr>
            <w:tcW w:w="7461" w:type="dxa"/>
            <w:noWrap/>
            <w:hideMark/>
          </w:tcPr>
          <w:p w:rsidR="0098038C" w:rsidRPr="0098038C" w:rsidRDefault="0098038C" w:rsidP="00BF6C3A">
            <w:pPr>
              <w:pStyle w:val="PlainText"/>
              <w:rPr>
                <w:sz w:val="24"/>
                <w:szCs w:val="24"/>
              </w:rPr>
            </w:pPr>
            <w:r w:rsidRPr="0098038C">
              <w:rPr>
                <w:sz w:val="24"/>
                <w:szCs w:val="24"/>
              </w:rPr>
              <w:t>Eastern and Southern Africa Small Scale Farmers Forum (ESAFF)</w:t>
            </w:r>
          </w:p>
        </w:tc>
        <w:tc>
          <w:tcPr>
            <w:tcW w:w="1631" w:type="dxa"/>
            <w:noWrap/>
            <w:hideMark/>
          </w:tcPr>
          <w:p w:rsidR="0098038C" w:rsidRPr="0098038C" w:rsidRDefault="0098038C" w:rsidP="00BF6C3A">
            <w:pPr>
              <w:pStyle w:val="PlainText"/>
              <w:rPr>
                <w:sz w:val="24"/>
                <w:szCs w:val="24"/>
              </w:rPr>
            </w:pPr>
            <w:r w:rsidRPr="0098038C">
              <w:rPr>
                <w:sz w:val="24"/>
                <w:szCs w:val="24"/>
              </w:rPr>
              <w:t>Lesotho</w:t>
            </w:r>
          </w:p>
        </w:tc>
      </w:tr>
      <w:tr w:rsidR="0098038C" w:rsidRPr="0098038C" w:rsidTr="0098038C">
        <w:trPr>
          <w:trHeight w:val="315"/>
        </w:trPr>
        <w:tc>
          <w:tcPr>
            <w:tcW w:w="636" w:type="dxa"/>
            <w:noWrap/>
            <w:hideMark/>
          </w:tcPr>
          <w:p w:rsidR="0098038C" w:rsidRPr="0098038C" w:rsidRDefault="0098038C" w:rsidP="00BF6C3A">
            <w:pPr>
              <w:pStyle w:val="PlainText"/>
              <w:rPr>
                <w:sz w:val="24"/>
                <w:szCs w:val="24"/>
              </w:rPr>
            </w:pPr>
            <w:r w:rsidRPr="0098038C">
              <w:rPr>
                <w:sz w:val="24"/>
                <w:szCs w:val="24"/>
              </w:rPr>
              <w:t>29</w:t>
            </w:r>
          </w:p>
        </w:tc>
        <w:tc>
          <w:tcPr>
            <w:tcW w:w="7461" w:type="dxa"/>
            <w:noWrap/>
            <w:hideMark/>
          </w:tcPr>
          <w:p w:rsidR="0098038C" w:rsidRPr="0098038C" w:rsidRDefault="0098038C" w:rsidP="00BF6C3A">
            <w:pPr>
              <w:pStyle w:val="PlainText"/>
              <w:rPr>
                <w:sz w:val="24"/>
                <w:szCs w:val="24"/>
              </w:rPr>
            </w:pPr>
            <w:r w:rsidRPr="0098038C">
              <w:rPr>
                <w:sz w:val="24"/>
                <w:szCs w:val="24"/>
              </w:rPr>
              <w:t>Eastern and Southern Africa Small Scale Farmers Forum (ESAFF)</w:t>
            </w:r>
          </w:p>
        </w:tc>
        <w:tc>
          <w:tcPr>
            <w:tcW w:w="1631" w:type="dxa"/>
            <w:noWrap/>
            <w:hideMark/>
          </w:tcPr>
          <w:p w:rsidR="0098038C" w:rsidRPr="0098038C" w:rsidRDefault="0098038C" w:rsidP="00BF6C3A">
            <w:pPr>
              <w:pStyle w:val="PlainText"/>
              <w:rPr>
                <w:sz w:val="24"/>
                <w:szCs w:val="24"/>
              </w:rPr>
            </w:pPr>
            <w:r w:rsidRPr="0098038C">
              <w:rPr>
                <w:sz w:val="24"/>
                <w:szCs w:val="24"/>
              </w:rPr>
              <w:t>Mozambique</w:t>
            </w:r>
          </w:p>
        </w:tc>
      </w:tr>
      <w:tr w:rsidR="0098038C" w:rsidRPr="0098038C" w:rsidTr="0098038C">
        <w:trPr>
          <w:trHeight w:val="630"/>
        </w:trPr>
        <w:tc>
          <w:tcPr>
            <w:tcW w:w="636" w:type="dxa"/>
            <w:noWrap/>
            <w:hideMark/>
          </w:tcPr>
          <w:p w:rsidR="0098038C" w:rsidRPr="0098038C" w:rsidRDefault="0098038C" w:rsidP="00BF6C3A">
            <w:pPr>
              <w:pStyle w:val="PlainText"/>
              <w:rPr>
                <w:sz w:val="24"/>
                <w:szCs w:val="24"/>
              </w:rPr>
            </w:pPr>
            <w:r w:rsidRPr="0098038C">
              <w:rPr>
                <w:sz w:val="24"/>
                <w:szCs w:val="24"/>
              </w:rPr>
              <w:t>30</w:t>
            </w:r>
          </w:p>
        </w:tc>
        <w:tc>
          <w:tcPr>
            <w:tcW w:w="7461" w:type="dxa"/>
            <w:noWrap/>
            <w:hideMark/>
          </w:tcPr>
          <w:p w:rsidR="0098038C" w:rsidRPr="00767805" w:rsidRDefault="0098038C" w:rsidP="00BF6C3A">
            <w:pPr>
              <w:pStyle w:val="PlainText"/>
              <w:rPr>
                <w:sz w:val="24"/>
                <w:szCs w:val="24"/>
                <w:lang w:val="es-VE"/>
              </w:rPr>
            </w:pPr>
            <w:r w:rsidRPr="00767805">
              <w:rPr>
                <w:sz w:val="24"/>
                <w:szCs w:val="24"/>
                <w:lang w:val="es-VE"/>
              </w:rPr>
              <w:t>Federación de Trabajadores del agua Potable y Alcantarillado del Perú (FENTAP)</w:t>
            </w:r>
          </w:p>
        </w:tc>
        <w:tc>
          <w:tcPr>
            <w:tcW w:w="1631" w:type="dxa"/>
            <w:noWrap/>
            <w:hideMark/>
          </w:tcPr>
          <w:p w:rsidR="0098038C" w:rsidRPr="0098038C" w:rsidRDefault="0098038C" w:rsidP="00BF6C3A">
            <w:pPr>
              <w:pStyle w:val="PlainText"/>
              <w:rPr>
                <w:sz w:val="24"/>
                <w:szCs w:val="24"/>
              </w:rPr>
            </w:pPr>
            <w:r w:rsidRPr="0098038C">
              <w:rPr>
                <w:sz w:val="24"/>
                <w:szCs w:val="24"/>
              </w:rPr>
              <w:t>Peru</w:t>
            </w:r>
          </w:p>
        </w:tc>
      </w:tr>
      <w:tr w:rsidR="0098038C" w:rsidRPr="0098038C" w:rsidTr="0098038C">
        <w:trPr>
          <w:trHeight w:val="315"/>
        </w:trPr>
        <w:tc>
          <w:tcPr>
            <w:tcW w:w="636" w:type="dxa"/>
            <w:noWrap/>
            <w:hideMark/>
          </w:tcPr>
          <w:p w:rsidR="0098038C" w:rsidRPr="0098038C" w:rsidRDefault="0098038C" w:rsidP="00BF6C3A">
            <w:pPr>
              <w:pStyle w:val="PlainText"/>
              <w:rPr>
                <w:sz w:val="24"/>
                <w:szCs w:val="24"/>
              </w:rPr>
            </w:pPr>
            <w:r w:rsidRPr="0098038C">
              <w:rPr>
                <w:sz w:val="24"/>
                <w:szCs w:val="24"/>
              </w:rPr>
              <w:t>31</w:t>
            </w:r>
          </w:p>
        </w:tc>
        <w:tc>
          <w:tcPr>
            <w:tcW w:w="7461" w:type="dxa"/>
            <w:noWrap/>
            <w:hideMark/>
          </w:tcPr>
          <w:p w:rsidR="0098038C" w:rsidRPr="0098038C" w:rsidRDefault="0098038C" w:rsidP="00BF6C3A">
            <w:pPr>
              <w:pStyle w:val="PlainText"/>
              <w:rPr>
                <w:sz w:val="24"/>
                <w:szCs w:val="24"/>
              </w:rPr>
            </w:pPr>
            <w:r w:rsidRPr="0098038C">
              <w:rPr>
                <w:sz w:val="24"/>
                <w:szCs w:val="24"/>
              </w:rPr>
              <w:t>Food &amp; Water Watch</w:t>
            </w:r>
          </w:p>
        </w:tc>
        <w:tc>
          <w:tcPr>
            <w:tcW w:w="1631" w:type="dxa"/>
            <w:noWrap/>
            <w:hideMark/>
          </w:tcPr>
          <w:p w:rsidR="0098038C" w:rsidRPr="0098038C" w:rsidRDefault="0098038C" w:rsidP="00BF6C3A">
            <w:pPr>
              <w:pStyle w:val="PlainText"/>
              <w:rPr>
                <w:sz w:val="24"/>
                <w:szCs w:val="24"/>
              </w:rPr>
            </w:pPr>
            <w:r w:rsidRPr="0098038C">
              <w:rPr>
                <w:sz w:val="24"/>
                <w:szCs w:val="24"/>
              </w:rPr>
              <w:t>USA</w:t>
            </w:r>
          </w:p>
        </w:tc>
      </w:tr>
      <w:tr w:rsidR="0098038C" w:rsidRPr="0098038C" w:rsidTr="0098038C">
        <w:trPr>
          <w:trHeight w:val="315"/>
        </w:trPr>
        <w:tc>
          <w:tcPr>
            <w:tcW w:w="636" w:type="dxa"/>
            <w:noWrap/>
            <w:hideMark/>
          </w:tcPr>
          <w:p w:rsidR="0098038C" w:rsidRPr="0098038C" w:rsidRDefault="0098038C" w:rsidP="00BF6C3A">
            <w:pPr>
              <w:pStyle w:val="PlainText"/>
              <w:rPr>
                <w:sz w:val="24"/>
                <w:szCs w:val="24"/>
              </w:rPr>
            </w:pPr>
            <w:r w:rsidRPr="0098038C">
              <w:rPr>
                <w:sz w:val="24"/>
                <w:szCs w:val="24"/>
              </w:rPr>
              <w:t>32</w:t>
            </w:r>
          </w:p>
        </w:tc>
        <w:tc>
          <w:tcPr>
            <w:tcW w:w="7461" w:type="dxa"/>
            <w:noWrap/>
            <w:hideMark/>
          </w:tcPr>
          <w:p w:rsidR="0098038C" w:rsidRPr="0098038C" w:rsidRDefault="0098038C" w:rsidP="00BF6C3A">
            <w:pPr>
              <w:pStyle w:val="PlainText"/>
              <w:rPr>
                <w:sz w:val="24"/>
                <w:szCs w:val="24"/>
              </w:rPr>
            </w:pPr>
            <w:r w:rsidRPr="0098038C">
              <w:rPr>
                <w:sz w:val="24"/>
                <w:szCs w:val="24"/>
              </w:rPr>
              <w:t>Friends of the Earth (</w:t>
            </w:r>
            <w:proofErr w:type="spellStart"/>
            <w:r w:rsidRPr="0098038C">
              <w:rPr>
                <w:sz w:val="24"/>
                <w:szCs w:val="24"/>
              </w:rPr>
              <w:t>FoE</w:t>
            </w:r>
            <w:proofErr w:type="spellEnd"/>
            <w:r w:rsidRPr="0098038C">
              <w:rPr>
                <w:sz w:val="24"/>
                <w:szCs w:val="24"/>
              </w:rPr>
              <w:t>)</w:t>
            </w:r>
          </w:p>
        </w:tc>
        <w:tc>
          <w:tcPr>
            <w:tcW w:w="1631" w:type="dxa"/>
            <w:noWrap/>
            <w:hideMark/>
          </w:tcPr>
          <w:p w:rsidR="0098038C" w:rsidRPr="0098038C" w:rsidRDefault="0098038C" w:rsidP="00BF6C3A">
            <w:pPr>
              <w:pStyle w:val="PlainText"/>
              <w:rPr>
                <w:sz w:val="24"/>
                <w:szCs w:val="24"/>
              </w:rPr>
            </w:pPr>
            <w:r w:rsidRPr="0098038C">
              <w:rPr>
                <w:sz w:val="24"/>
                <w:szCs w:val="24"/>
              </w:rPr>
              <w:t>Uruguay</w:t>
            </w:r>
          </w:p>
        </w:tc>
      </w:tr>
      <w:tr w:rsidR="0098038C" w:rsidRPr="0098038C" w:rsidTr="0098038C">
        <w:trPr>
          <w:trHeight w:val="315"/>
        </w:trPr>
        <w:tc>
          <w:tcPr>
            <w:tcW w:w="636" w:type="dxa"/>
            <w:noWrap/>
            <w:hideMark/>
          </w:tcPr>
          <w:p w:rsidR="0098038C" w:rsidRPr="0098038C" w:rsidRDefault="0098038C" w:rsidP="00BF6C3A">
            <w:pPr>
              <w:pStyle w:val="PlainText"/>
              <w:rPr>
                <w:sz w:val="24"/>
                <w:szCs w:val="24"/>
              </w:rPr>
            </w:pPr>
            <w:r w:rsidRPr="0098038C">
              <w:rPr>
                <w:sz w:val="24"/>
                <w:szCs w:val="24"/>
              </w:rPr>
              <w:t>33</w:t>
            </w:r>
          </w:p>
        </w:tc>
        <w:tc>
          <w:tcPr>
            <w:tcW w:w="7461" w:type="dxa"/>
            <w:noWrap/>
            <w:hideMark/>
          </w:tcPr>
          <w:p w:rsidR="0098038C" w:rsidRPr="0098038C" w:rsidRDefault="0098038C" w:rsidP="00BF6C3A">
            <w:pPr>
              <w:pStyle w:val="PlainText"/>
              <w:rPr>
                <w:sz w:val="24"/>
                <w:szCs w:val="24"/>
              </w:rPr>
            </w:pPr>
            <w:r w:rsidRPr="0098038C">
              <w:rPr>
                <w:sz w:val="24"/>
                <w:szCs w:val="24"/>
              </w:rPr>
              <w:t>Indonesian People’s Alliance (IPA)</w:t>
            </w:r>
          </w:p>
        </w:tc>
        <w:tc>
          <w:tcPr>
            <w:tcW w:w="1631" w:type="dxa"/>
            <w:noWrap/>
            <w:hideMark/>
          </w:tcPr>
          <w:p w:rsidR="0098038C" w:rsidRPr="0098038C" w:rsidRDefault="0098038C" w:rsidP="00BF6C3A">
            <w:pPr>
              <w:pStyle w:val="PlainText"/>
              <w:rPr>
                <w:sz w:val="24"/>
                <w:szCs w:val="24"/>
              </w:rPr>
            </w:pPr>
            <w:r w:rsidRPr="0098038C">
              <w:rPr>
                <w:sz w:val="24"/>
                <w:szCs w:val="24"/>
              </w:rPr>
              <w:t>Indonesia</w:t>
            </w:r>
          </w:p>
        </w:tc>
      </w:tr>
      <w:tr w:rsidR="0098038C" w:rsidRPr="0098038C" w:rsidTr="0098038C">
        <w:trPr>
          <w:trHeight w:val="315"/>
        </w:trPr>
        <w:tc>
          <w:tcPr>
            <w:tcW w:w="636" w:type="dxa"/>
            <w:noWrap/>
            <w:hideMark/>
          </w:tcPr>
          <w:p w:rsidR="0098038C" w:rsidRPr="0098038C" w:rsidRDefault="0098038C" w:rsidP="00BF6C3A">
            <w:pPr>
              <w:pStyle w:val="PlainText"/>
              <w:rPr>
                <w:sz w:val="24"/>
                <w:szCs w:val="24"/>
              </w:rPr>
            </w:pPr>
            <w:r w:rsidRPr="0098038C">
              <w:rPr>
                <w:sz w:val="24"/>
                <w:szCs w:val="24"/>
              </w:rPr>
              <w:t>34</w:t>
            </w:r>
          </w:p>
        </w:tc>
        <w:tc>
          <w:tcPr>
            <w:tcW w:w="7461" w:type="dxa"/>
            <w:hideMark/>
          </w:tcPr>
          <w:p w:rsidR="0098038C" w:rsidRPr="0098038C" w:rsidRDefault="0098038C" w:rsidP="00BF6C3A">
            <w:pPr>
              <w:pStyle w:val="PlainText"/>
              <w:rPr>
                <w:sz w:val="24"/>
                <w:szCs w:val="24"/>
              </w:rPr>
            </w:pPr>
            <w:r w:rsidRPr="0098038C">
              <w:rPr>
                <w:sz w:val="24"/>
                <w:szCs w:val="24"/>
              </w:rPr>
              <w:t>Institute for National and Democracy Studies (INDIES)</w:t>
            </w:r>
          </w:p>
        </w:tc>
        <w:tc>
          <w:tcPr>
            <w:tcW w:w="1631" w:type="dxa"/>
            <w:noWrap/>
            <w:hideMark/>
          </w:tcPr>
          <w:p w:rsidR="0098038C" w:rsidRPr="0098038C" w:rsidRDefault="0098038C" w:rsidP="00BF6C3A">
            <w:pPr>
              <w:pStyle w:val="PlainText"/>
              <w:rPr>
                <w:sz w:val="24"/>
                <w:szCs w:val="24"/>
              </w:rPr>
            </w:pPr>
            <w:r w:rsidRPr="0098038C">
              <w:rPr>
                <w:sz w:val="24"/>
                <w:szCs w:val="24"/>
              </w:rPr>
              <w:t>Indonesia</w:t>
            </w:r>
          </w:p>
        </w:tc>
      </w:tr>
      <w:tr w:rsidR="0098038C" w:rsidRPr="0098038C" w:rsidTr="0098038C">
        <w:trPr>
          <w:trHeight w:val="315"/>
        </w:trPr>
        <w:tc>
          <w:tcPr>
            <w:tcW w:w="636" w:type="dxa"/>
            <w:noWrap/>
            <w:hideMark/>
          </w:tcPr>
          <w:p w:rsidR="0098038C" w:rsidRPr="0098038C" w:rsidRDefault="0098038C" w:rsidP="00BF6C3A">
            <w:pPr>
              <w:pStyle w:val="PlainText"/>
              <w:rPr>
                <w:sz w:val="24"/>
                <w:szCs w:val="24"/>
              </w:rPr>
            </w:pPr>
            <w:r w:rsidRPr="0098038C">
              <w:rPr>
                <w:sz w:val="24"/>
                <w:szCs w:val="24"/>
              </w:rPr>
              <w:t>35</w:t>
            </w:r>
          </w:p>
        </w:tc>
        <w:tc>
          <w:tcPr>
            <w:tcW w:w="7461" w:type="dxa"/>
            <w:hideMark/>
          </w:tcPr>
          <w:p w:rsidR="0098038C" w:rsidRPr="0098038C" w:rsidRDefault="0098038C" w:rsidP="00BF6C3A">
            <w:pPr>
              <w:pStyle w:val="PlainText"/>
              <w:rPr>
                <w:sz w:val="24"/>
                <w:szCs w:val="24"/>
              </w:rPr>
            </w:pPr>
            <w:proofErr w:type="spellStart"/>
            <w:r w:rsidRPr="0098038C">
              <w:rPr>
                <w:sz w:val="24"/>
                <w:szCs w:val="24"/>
              </w:rPr>
              <w:t>Jóvenes</w:t>
            </w:r>
            <w:proofErr w:type="spellEnd"/>
            <w:r w:rsidRPr="0098038C">
              <w:rPr>
                <w:sz w:val="24"/>
                <w:szCs w:val="24"/>
              </w:rPr>
              <w:t xml:space="preserve"> </w:t>
            </w:r>
            <w:proofErr w:type="spellStart"/>
            <w:r w:rsidRPr="0098038C">
              <w:rPr>
                <w:sz w:val="24"/>
                <w:szCs w:val="24"/>
              </w:rPr>
              <w:t>frente</w:t>
            </w:r>
            <w:proofErr w:type="spellEnd"/>
            <w:r w:rsidRPr="0098038C">
              <w:rPr>
                <w:sz w:val="24"/>
                <w:szCs w:val="24"/>
              </w:rPr>
              <w:t xml:space="preserve"> al G20</w:t>
            </w:r>
          </w:p>
        </w:tc>
        <w:tc>
          <w:tcPr>
            <w:tcW w:w="1631" w:type="dxa"/>
            <w:noWrap/>
            <w:hideMark/>
          </w:tcPr>
          <w:p w:rsidR="0098038C" w:rsidRPr="0098038C" w:rsidRDefault="0098038C" w:rsidP="00BF6C3A">
            <w:pPr>
              <w:pStyle w:val="PlainText"/>
              <w:rPr>
                <w:sz w:val="24"/>
                <w:szCs w:val="24"/>
              </w:rPr>
            </w:pPr>
            <w:r w:rsidRPr="0098038C">
              <w:rPr>
                <w:sz w:val="24"/>
                <w:szCs w:val="24"/>
              </w:rPr>
              <w:t>Mexico</w:t>
            </w:r>
          </w:p>
        </w:tc>
      </w:tr>
      <w:tr w:rsidR="0098038C" w:rsidRPr="0098038C" w:rsidTr="0098038C">
        <w:trPr>
          <w:trHeight w:val="315"/>
        </w:trPr>
        <w:tc>
          <w:tcPr>
            <w:tcW w:w="636" w:type="dxa"/>
            <w:noWrap/>
            <w:hideMark/>
          </w:tcPr>
          <w:p w:rsidR="0098038C" w:rsidRPr="0098038C" w:rsidRDefault="0098038C" w:rsidP="00BF6C3A">
            <w:pPr>
              <w:pStyle w:val="PlainText"/>
              <w:rPr>
                <w:sz w:val="24"/>
                <w:szCs w:val="24"/>
              </w:rPr>
            </w:pPr>
            <w:r w:rsidRPr="0098038C">
              <w:rPr>
                <w:sz w:val="24"/>
                <w:szCs w:val="24"/>
              </w:rPr>
              <w:t>36</w:t>
            </w:r>
          </w:p>
        </w:tc>
        <w:tc>
          <w:tcPr>
            <w:tcW w:w="7461" w:type="dxa"/>
            <w:hideMark/>
          </w:tcPr>
          <w:p w:rsidR="0098038C" w:rsidRPr="0098038C" w:rsidRDefault="0098038C" w:rsidP="00BF6C3A">
            <w:pPr>
              <w:pStyle w:val="PlainText"/>
              <w:rPr>
                <w:sz w:val="24"/>
                <w:szCs w:val="24"/>
              </w:rPr>
            </w:pPr>
            <w:r w:rsidRPr="0098038C">
              <w:rPr>
                <w:sz w:val="24"/>
                <w:szCs w:val="24"/>
              </w:rPr>
              <w:t>Kenya Small Scale Farmers Forum (KESSFF)</w:t>
            </w:r>
          </w:p>
        </w:tc>
        <w:tc>
          <w:tcPr>
            <w:tcW w:w="1631" w:type="dxa"/>
            <w:noWrap/>
            <w:hideMark/>
          </w:tcPr>
          <w:p w:rsidR="0098038C" w:rsidRPr="0098038C" w:rsidRDefault="0098038C" w:rsidP="00BF6C3A">
            <w:pPr>
              <w:pStyle w:val="PlainText"/>
              <w:rPr>
                <w:sz w:val="24"/>
                <w:szCs w:val="24"/>
              </w:rPr>
            </w:pPr>
            <w:r w:rsidRPr="0098038C">
              <w:rPr>
                <w:sz w:val="24"/>
                <w:szCs w:val="24"/>
              </w:rPr>
              <w:t>Kenya</w:t>
            </w:r>
          </w:p>
        </w:tc>
      </w:tr>
      <w:tr w:rsidR="0098038C" w:rsidRPr="0098038C" w:rsidTr="0098038C">
        <w:trPr>
          <w:trHeight w:val="315"/>
        </w:trPr>
        <w:tc>
          <w:tcPr>
            <w:tcW w:w="636" w:type="dxa"/>
            <w:noWrap/>
            <w:hideMark/>
          </w:tcPr>
          <w:p w:rsidR="0098038C" w:rsidRPr="0098038C" w:rsidRDefault="0098038C" w:rsidP="00BF6C3A">
            <w:pPr>
              <w:pStyle w:val="PlainText"/>
              <w:rPr>
                <w:sz w:val="24"/>
                <w:szCs w:val="24"/>
              </w:rPr>
            </w:pPr>
            <w:r w:rsidRPr="0098038C">
              <w:rPr>
                <w:sz w:val="24"/>
                <w:szCs w:val="24"/>
              </w:rPr>
              <w:t>37</w:t>
            </w:r>
          </w:p>
        </w:tc>
        <w:tc>
          <w:tcPr>
            <w:tcW w:w="7461" w:type="dxa"/>
            <w:hideMark/>
          </w:tcPr>
          <w:p w:rsidR="0098038C" w:rsidRPr="0098038C" w:rsidRDefault="0098038C" w:rsidP="00BF6C3A">
            <w:pPr>
              <w:pStyle w:val="PlainText"/>
              <w:rPr>
                <w:sz w:val="24"/>
                <w:szCs w:val="24"/>
              </w:rPr>
            </w:pPr>
            <w:proofErr w:type="spellStart"/>
            <w:r w:rsidRPr="0098038C">
              <w:rPr>
                <w:sz w:val="24"/>
                <w:szCs w:val="24"/>
              </w:rPr>
              <w:t>Krisoker</w:t>
            </w:r>
            <w:proofErr w:type="spellEnd"/>
            <w:r w:rsidRPr="0098038C">
              <w:rPr>
                <w:sz w:val="24"/>
                <w:szCs w:val="24"/>
              </w:rPr>
              <w:t xml:space="preserve"> </w:t>
            </w:r>
            <w:proofErr w:type="spellStart"/>
            <w:r w:rsidRPr="0098038C">
              <w:rPr>
                <w:sz w:val="24"/>
                <w:szCs w:val="24"/>
              </w:rPr>
              <w:t>Sor</w:t>
            </w:r>
            <w:proofErr w:type="spellEnd"/>
            <w:r w:rsidRPr="0098038C">
              <w:rPr>
                <w:sz w:val="24"/>
                <w:szCs w:val="24"/>
              </w:rPr>
              <w:t xml:space="preserve"> (Farmers' Voice) </w:t>
            </w:r>
          </w:p>
        </w:tc>
        <w:tc>
          <w:tcPr>
            <w:tcW w:w="1631" w:type="dxa"/>
            <w:noWrap/>
            <w:hideMark/>
          </w:tcPr>
          <w:p w:rsidR="0098038C" w:rsidRPr="0098038C" w:rsidRDefault="0098038C" w:rsidP="00BF6C3A">
            <w:pPr>
              <w:pStyle w:val="PlainText"/>
              <w:rPr>
                <w:sz w:val="24"/>
                <w:szCs w:val="24"/>
              </w:rPr>
            </w:pPr>
            <w:r w:rsidRPr="0098038C">
              <w:rPr>
                <w:sz w:val="24"/>
                <w:szCs w:val="24"/>
              </w:rPr>
              <w:t>Bangladesh</w:t>
            </w:r>
          </w:p>
        </w:tc>
      </w:tr>
      <w:tr w:rsidR="0098038C" w:rsidRPr="0098038C" w:rsidTr="0098038C">
        <w:trPr>
          <w:trHeight w:val="315"/>
        </w:trPr>
        <w:tc>
          <w:tcPr>
            <w:tcW w:w="636" w:type="dxa"/>
            <w:noWrap/>
            <w:hideMark/>
          </w:tcPr>
          <w:p w:rsidR="0098038C" w:rsidRPr="0098038C" w:rsidRDefault="0098038C" w:rsidP="00BF6C3A">
            <w:pPr>
              <w:pStyle w:val="PlainText"/>
              <w:rPr>
                <w:sz w:val="24"/>
                <w:szCs w:val="24"/>
              </w:rPr>
            </w:pPr>
            <w:r w:rsidRPr="0098038C">
              <w:rPr>
                <w:sz w:val="24"/>
                <w:szCs w:val="24"/>
              </w:rPr>
              <w:t>38</w:t>
            </w:r>
          </w:p>
        </w:tc>
        <w:tc>
          <w:tcPr>
            <w:tcW w:w="7461" w:type="dxa"/>
            <w:noWrap/>
            <w:hideMark/>
          </w:tcPr>
          <w:p w:rsidR="0098038C" w:rsidRPr="0098038C" w:rsidRDefault="0098038C" w:rsidP="00BF6C3A">
            <w:pPr>
              <w:pStyle w:val="PlainText"/>
              <w:rPr>
                <w:sz w:val="24"/>
                <w:szCs w:val="24"/>
              </w:rPr>
            </w:pPr>
            <w:proofErr w:type="spellStart"/>
            <w:r w:rsidRPr="0098038C">
              <w:rPr>
                <w:sz w:val="24"/>
                <w:szCs w:val="24"/>
              </w:rPr>
              <w:t>Mtandao</w:t>
            </w:r>
            <w:proofErr w:type="spellEnd"/>
            <w:r w:rsidRPr="0098038C">
              <w:rPr>
                <w:sz w:val="24"/>
                <w:szCs w:val="24"/>
              </w:rPr>
              <w:t xml:space="preserve"> </w:t>
            </w:r>
            <w:proofErr w:type="spellStart"/>
            <w:r w:rsidRPr="0098038C">
              <w:rPr>
                <w:sz w:val="24"/>
                <w:szCs w:val="24"/>
              </w:rPr>
              <w:t>wa</w:t>
            </w:r>
            <w:proofErr w:type="spellEnd"/>
            <w:r w:rsidRPr="0098038C">
              <w:rPr>
                <w:sz w:val="24"/>
                <w:szCs w:val="24"/>
              </w:rPr>
              <w:t xml:space="preserve"> </w:t>
            </w:r>
            <w:proofErr w:type="spellStart"/>
            <w:r w:rsidRPr="0098038C">
              <w:rPr>
                <w:sz w:val="24"/>
                <w:szCs w:val="24"/>
              </w:rPr>
              <w:t>Vikundi</w:t>
            </w:r>
            <w:proofErr w:type="spellEnd"/>
            <w:r w:rsidRPr="0098038C">
              <w:rPr>
                <w:sz w:val="24"/>
                <w:szCs w:val="24"/>
              </w:rPr>
              <w:t xml:space="preserve"> </w:t>
            </w:r>
            <w:proofErr w:type="spellStart"/>
            <w:r w:rsidRPr="0098038C">
              <w:rPr>
                <w:sz w:val="24"/>
                <w:szCs w:val="24"/>
              </w:rPr>
              <w:t>vya</w:t>
            </w:r>
            <w:proofErr w:type="spellEnd"/>
            <w:r w:rsidRPr="0098038C">
              <w:rPr>
                <w:sz w:val="24"/>
                <w:szCs w:val="24"/>
              </w:rPr>
              <w:t xml:space="preserve"> </w:t>
            </w:r>
            <w:proofErr w:type="spellStart"/>
            <w:r w:rsidRPr="0098038C">
              <w:rPr>
                <w:sz w:val="24"/>
                <w:szCs w:val="24"/>
              </w:rPr>
              <w:t>Wakulima</w:t>
            </w:r>
            <w:proofErr w:type="spellEnd"/>
            <w:r w:rsidRPr="0098038C">
              <w:rPr>
                <w:sz w:val="24"/>
                <w:szCs w:val="24"/>
              </w:rPr>
              <w:t xml:space="preserve"> Tanzania (MVIWATA)</w:t>
            </w:r>
          </w:p>
        </w:tc>
        <w:tc>
          <w:tcPr>
            <w:tcW w:w="1631" w:type="dxa"/>
            <w:noWrap/>
            <w:hideMark/>
          </w:tcPr>
          <w:p w:rsidR="0098038C" w:rsidRPr="0098038C" w:rsidRDefault="0098038C" w:rsidP="00BF6C3A">
            <w:pPr>
              <w:pStyle w:val="PlainText"/>
              <w:rPr>
                <w:sz w:val="24"/>
                <w:szCs w:val="24"/>
              </w:rPr>
            </w:pPr>
            <w:r w:rsidRPr="0098038C">
              <w:rPr>
                <w:sz w:val="24"/>
                <w:szCs w:val="24"/>
              </w:rPr>
              <w:t>Tanzania</w:t>
            </w:r>
          </w:p>
        </w:tc>
      </w:tr>
      <w:tr w:rsidR="0098038C" w:rsidRPr="0098038C" w:rsidTr="0098038C">
        <w:trPr>
          <w:trHeight w:val="315"/>
        </w:trPr>
        <w:tc>
          <w:tcPr>
            <w:tcW w:w="636" w:type="dxa"/>
            <w:noWrap/>
            <w:hideMark/>
          </w:tcPr>
          <w:p w:rsidR="0098038C" w:rsidRPr="0098038C" w:rsidRDefault="0098038C" w:rsidP="00BF6C3A">
            <w:pPr>
              <w:pStyle w:val="PlainText"/>
              <w:rPr>
                <w:sz w:val="24"/>
                <w:szCs w:val="24"/>
              </w:rPr>
            </w:pPr>
            <w:r w:rsidRPr="0098038C">
              <w:rPr>
                <w:sz w:val="24"/>
                <w:szCs w:val="24"/>
              </w:rPr>
              <w:t>39</w:t>
            </w:r>
          </w:p>
        </w:tc>
        <w:tc>
          <w:tcPr>
            <w:tcW w:w="7461" w:type="dxa"/>
            <w:noWrap/>
            <w:hideMark/>
          </w:tcPr>
          <w:p w:rsidR="0098038C" w:rsidRPr="0098038C" w:rsidRDefault="0098038C" w:rsidP="00BF6C3A">
            <w:pPr>
              <w:pStyle w:val="PlainText"/>
              <w:rPr>
                <w:sz w:val="24"/>
                <w:szCs w:val="24"/>
              </w:rPr>
            </w:pPr>
            <w:r w:rsidRPr="0098038C">
              <w:rPr>
                <w:sz w:val="24"/>
                <w:szCs w:val="24"/>
              </w:rPr>
              <w:t>National Smallholder Farmers Association of Malawi</w:t>
            </w:r>
          </w:p>
        </w:tc>
        <w:tc>
          <w:tcPr>
            <w:tcW w:w="1631" w:type="dxa"/>
            <w:noWrap/>
            <w:hideMark/>
          </w:tcPr>
          <w:p w:rsidR="0098038C" w:rsidRPr="0098038C" w:rsidRDefault="0098038C" w:rsidP="00BF6C3A">
            <w:pPr>
              <w:pStyle w:val="PlainText"/>
              <w:rPr>
                <w:sz w:val="24"/>
                <w:szCs w:val="24"/>
              </w:rPr>
            </w:pPr>
            <w:r w:rsidRPr="0098038C">
              <w:rPr>
                <w:sz w:val="24"/>
                <w:szCs w:val="24"/>
              </w:rPr>
              <w:t>Malawi</w:t>
            </w:r>
          </w:p>
        </w:tc>
      </w:tr>
      <w:tr w:rsidR="0098038C" w:rsidRPr="0098038C" w:rsidTr="0098038C">
        <w:trPr>
          <w:trHeight w:val="315"/>
        </w:trPr>
        <w:tc>
          <w:tcPr>
            <w:tcW w:w="636" w:type="dxa"/>
            <w:noWrap/>
            <w:hideMark/>
          </w:tcPr>
          <w:p w:rsidR="0098038C" w:rsidRPr="0098038C" w:rsidRDefault="0098038C" w:rsidP="00BF6C3A">
            <w:pPr>
              <w:pStyle w:val="PlainText"/>
              <w:rPr>
                <w:sz w:val="24"/>
                <w:szCs w:val="24"/>
              </w:rPr>
            </w:pPr>
            <w:r w:rsidRPr="0098038C">
              <w:rPr>
                <w:sz w:val="24"/>
                <w:szCs w:val="24"/>
              </w:rPr>
              <w:t>40</w:t>
            </w:r>
          </w:p>
        </w:tc>
        <w:tc>
          <w:tcPr>
            <w:tcW w:w="7461" w:type="dxa"/>
            <w:noWrap/>
            <w:hideMark/>
          </w:tcPr>
          <w:p w:rsidR="0098038C" w:rsidRPr="0098038C" w:rsidRDefault="0098038C" w:rsidP="00BF6C3A">
            <w:pPr>
              <w:pStyle w:val="PlainText"/>
              <w:rPr>
                <w:sz w:val="24"/>
                <w:szCs w:val="24"/>
              </w:rPr>
            </w:pPr>
            <w:r w:rsidRPr="0098038C">
              <w:rPr>
                <w:sz w:val="24"/>
                <w:szCs w:val="24"/>
              </w:rPr>
              <w:t>Public Citizen</w:t>
            </w:r>
          </w:p>
        </w:tc>
        <w:tc>
          <w:tcPr>
            <w:tcW w:w="1631" w:type="dxa"/>
            <w:noWrap/>
            <w:hideMark/>
          </w:tcPr>
          <w:p w:rsidR="0098038C" w:rsidRPr="0098038C" w:rsidRDefault="0098038C" w:rsidP="00BF6C3A">
            <w:pPr>
              <w:pStyle w:val="PlainText"/>
              <w:rPr>
                <w:sz w:val="24"/>
                <w:szCs w:val="24"/>
              </w:rPr>
            </w:pPr>
            <w:r w:rsidRPr="0098038C">
              <w:rPr>
                <w:sz w:val="24"/>
                <w:szCs w:val="24"/>
              </w:rPr>
              <w:t>USA</w:t>
            </w:r>
          </w:p>
        </w:tc>
      </w:tr>
      <w:tr w:rsidR="0098038C" w:rsidRPr="0098038C" w:rsidTr="0098038C">
        <w:trPr>
          <w:trHeight w:val="315"/>
        </w:trPr>
        <w:tc>
          <w:tcPr>
            <w:tcW w:w="636" w:type="dxa"/>
            <w:noWrap/>
            <w:hideMark/>
          </w:tcPr>
          <w:p w:rsidR="0098038C" w:rsidRPr="0098038C" w:rsidRDefault="0098038C" w:rsidP="00BF6C3A">
            <w:pPr>
              <w:pStyle w:val="PlainText"/>
              <w:rPr>
                <w:sz w:val="24"/>
                <w:szCs w:val="24"/>
              </w:rPr>
            </w:pPr>
            <w:r w:rsidRPr="0098038C">
              <w:rPr>
                <w:sz w:val="24"/>
                <w:szCs w:val="24"/>
              </w:rPr>
              <w:t>41</w:t>
            </w:r>
          </w:p>
        </w:tc>
        <w:tc>
          <w:tcPr>
            <w:tcW w:w="7461" w:type="dxa"/>
            <w:noWrap/>
            <w:hideMark/>
          </w:tcPr>
          <w:p w:rsidR="0098038C" w:rsidRPr="0098038C" w:rsidRDefault="0098038C" w:rsidP="00BF6C3A">
            <w:pPr>
              <w:pStyle w:val="PlainText"/>
              <w:rPr>
                <w:sz w:val="24"/>
                <w:szCs w:val="24"/>
              </w:rPr>
            </w:pPr>
            <w:r w:rsidRPr="0098038C">
              <w:rPr>
                <w:sz w:val="24"/>
                <w:szCs w:val="24"/>
              </w:rPr>
              <w:t>Seychelles Farmers’ Association</w:t>
            </w:r>
          </w:p>
        </w:tc>
        <w:tc>
          <w:tcPr>
            <w:tcW w:w="1631" w:type="dxa"/>
            <w:noWrap/>
            <w:hideMark/>
          </w:tcPr>
          <w:p w:rsidR="0098038C" w:rsidRPr="0098038C" w:rsidRDefault="0098038C" w:rsidP="00BF6C3A">
            <w:pPr>
              <w:pStyle w:val="PlainText"/>
              <w:rPr>
                <w:sz w:val="24"/>
                <w:szCs w:val="24"/>
              </w:rPr>
            </w:pPr>
            <w:r w:rsidRPr="0098038C">
              <w:rPr>
                <w:sz w:val="24"/>
                <w:szCs w:val="24"/>
              </w:rPr>
              <w:t>Seychelles</w:t>
            </w:r>
          </w:p>
        </w:tc>
      </w:tr>
      <w:tr w:rsidR="0098038C" w:rsidRPr="0098038C" w:rsidTr="0098038C">
        <w:trPr>
          <w:trHeight w:val="315"/>
        </w:trPr>
        <w:tc>
          <w:tcPr>
            <w:tcW w:w="636" w:type="dxa"/>
            <w:noWrap/>
            <w:hideMark/>
          </w:tcPr>
          <w:p w:rsidR="0098038C" w:rsidRPr="0098038C" w:rsidRDefault="0098038C" w:rsidP="00BF6C3A">
            <w:pPr>
              <w:pStyle w:val="PlainText"/>
              <w:rPr>
                <w:sz w:val="24"/>
                <w:szCs w:val="24"/>
              </w:rPr>
            </w:pPr>
            <w:r w:rsidRPr="0098038C">
              <w:rPr>
                <w:sz w:val="24"/>
                <w:szCs w:val="24"/>
              </w:rPr>
              <w:lastRenderedPageBreak/>
              <w:t>42</w:t>
            </w:r>
          </w:p>
        </w:tc>
        <w:tc>
          <w:tcPr>
            <w:tcW w:w="7461" w:type="dxa"/>
            <w:noWrap/>
            <w:hideMark/>
          </w:tcPr>
          <w:p w:rsidR="0098038C" w:rsidRPr="0098038C" w:rsidRDefault="0098038C" w:rsidP="00BF6C3A">
            <w:pPr>
              <w:pStyle w:val="PlainText"/>
              <w:rPr>
                <w:sz w:val="24"/>
                <w:szCs w:val="24"/>
              </w:rPr>
            </w:pPr>
            <w:r w:rsidRPr="0098038C">
              <w:rPr>
                <w:sz w:val="24"/>
                <w:szCs w:val="24"/>
              </w:rPr>
              <w:t>South Africa - Small scale Farmers Networking  Forum (SA-SFNF)</w:t>
            </w:r>
          </w:p>
        </w:tc>
        <w:tc>
          <w:tcPr>
            <w:tcW w:w="1631" w:type="dxa"/>
            <w:noWrap/>
            <w:hideMark/>
          </w:tcPr>
          <w:p w:rsidR="0098038C" w:rsidRPr="0098038C" w:rsidRDefault="0098038C" w:rsidP="00BF6C3A">
            <w:pPr>
              <w:pStyle w:val="PlainText"/>
              <w:rPr>
                <w:sz w:val="24"/>
                <w:szCs w:val="24"/>
              </w:rPr>
            </w:pPr>
            <w:r w:rsidRPr="0098038C">
              <w:rPr>
                <w:sz w:val="24"/>
                <w:szCs w:val="24"/>
              </w:rPr>
              <w:t>South Africa</w:t>
            </w:r>
          </w:p>
        </w:tc>
      </w:tr>
      <w:tr w:rsidR="0098038C" w:rsidRPr="0098038C" w:rsidTr="0098038C">
        <w:trPr>
          <w:trHeight w:val="315"/>
        </w:trPr>
        <w:tc>
          <w:tcPr>
            <w:tcW w:w="636" w:type="dxa"/>
            <w:noWrap/>
            <w:hideMark/>
          </w:tcPr>
          <w:p w:rsidR="0098038C" w:rsidRPr="0098038C" w:rsidRDefault="0098038C" w:rsidP="00BF6C3A">
            <w:pPr>
              <w:pStyle w:val="PlainText"/>
              <w:rPr>
                <w:sz w:val="24"/>
                <w:szCs w:val="24"/>
              </w:rPr>
            </w:pPr>
            <w:r w:rsidRPr="0098038C">
              <w:rPr>
                <w:sz w:val="24"/>
                <w:szCs w:val="24"/>
              </w:rPr>
              <w:t>43</w:t>
            </w:r>
          </w:p>
        </w:tc>
        <w:tc>
          <w:tcPr>
            <w:tcW w:w="7461" w:type="dxa"/>
            <w:noWrap/>
            <w:hideMark/>
          </w:tcPr>
          <w:p w:rsidR="0098038C" w:rsidRPr="0098038C" w:rsidRDefault="0098038C" w:rsidP="00BF6C3A">
            <w:pPr>
              <w:pStyle w:val="PlainText"/>
              <w:rPr>
                <w:sz w:val="24"/>
                <w:szCs w:val="24"/>
              </w:rPr>
            </w:pPr>
            <w:r w:rsidRPr="0098038C">
              <w:rPr>
                <w:sz w:val="24"/>
                <w:szCs w:val="24"/>
              </w:rPr>
              <w:t xml:space="preserve">Worldview </w:t>
            </w:r>
          </w:p>
        </w:tc>
        <w:tc>
          <w:tcPr>
            <w:tcW w:w="1631" w:type="dxa"/>
            <w:noWrap/>
            <w:hideMark/>
          </w:tcPr>
          <w:p w:rsidR="0098038C" w:rsidRPr="0098038C" w:rsidRDefault="0098038C" w:rsidP="00BF6C3A">
            <w:pPr>
              <w:pStyle w:val="PlainText"/>
              <w:rPr>
                <w:sz w:val="24"/>
                <w:szCs w:val="24"/>
              </w:rPr>
            </w:pPr>
            <w:r w:rsidRPr="0098038C">
              <w:rPr>
                <w:sz w:val="24"/>
                <w:szCs w:val="24"/>
              </w:rPr>
              <w:t>Gambia</w:t>
            </w:r>
          </w:p>
        </w:tc>
      </w:tr>
      <w:tr w:rsidR="0098038C" w:rsidRPr="0098038C" w:rsidTr="0098038C">
        <w:trPr>
          <w:trHeight w:val="315"/>
        </w:trPr>
        <w:tc>
          <w:tcPr>
            <w:tcW w:w="636" w:type="dxa"/>
            <w:noWrap/>
            <w:hideMark/>
          </w:tcPr>
          <w:p w:rsidR="0098038C" w:rsidRPr="0098038C" w:rsidRDefault="0098038C" w:rsidP="00BF6C3A">
            <w:pPr>
              <w:pStyle w:val="PlainText"/>
              <w:rPr>
                <w:sz w:val="24"/>
                <w:szCs w:val="24"/>
              </w:rPr>
            </w:pPr>
            <w:r w:rsidRPr="0098038C">
              <w:rPr>
                <w:sz w:val="24"/>
                <w:szCs w:val="24"/>
              </w:rPr>
              <w:t>44</w:t>
            </w:r>
          </w:p>
        </w:tc>
        <w:tc>
          <w:tcPr>
            <w:tcW w:w="7461" w:type="dxa"/>
            <w:noWrap/>
            <w:hideMark/>
          </w:tcPr>
          <w:p w:rsidR="0098038C" w:rsidRPr="0098038C" w:rsidRDefault="0098038C" w:rsidP="00BF6C3A">
            <w:pPr>
              <w:pStyle w:val="PlainText"/>
              <w:rPr>
                <w:sz w:val="24"/>
                <w:szCs w:val="24"/>
              </w:rPr>
            </w:pPr>
            <w:r w:rsidRPr="0098038C">
              <w:rPr>
                <w:sz w:val="24"/>
                <w:szCs w:val="24"/>
              </w:rPr>
              <w:t>Zimbabwe Smallholders Organics Forum (ZIMSOFF)</w:t>
            </w:r>
          </w:p>
        </w:tc>
        <w:tc>
          <w:tcPr>
            <w:tcW w:w="1631" w:type="dxa"/>
            <w:noWrap/>
            <w:hideMark/>
          </w:tcPr>
          <w:p w:rsidR="0098038C" w:rsidRPr="0098038C" w:rsidRDefault="0098038C" w:rsidP="00BF6C3A">
            <w:pPr>
              <w:pStyle w:val="PlainText"/>
              <w:rPr>
                <w:sz w:val="24"/>
                <w:szCs w:val="24"/>
              </w:rPr>
            </w:pPr>
            <w:r w:rsidRPr="0098038C">
              <w:rPr>
                <w:sz w:val="24"/>
                <w:szCs w:val="24"/>
              </w:rPr>
              <w:t>Zimbabwe</w:t>
            </w:r>
          </w:p>
        </w:tc>
      </w:tr>
    </w:tbl>
    <w:p w:rsidR="0098038C" w:rsidRDefault="0098038C" w:rsidP="00EC3971">
      <w:pPr>
        <w:pStyle w:val="PlainText"/>
        <w:rPr>
          <w:sz w:val="24"/>
          <w:szCs w:val="24"/>
        </w:rPr>
      </w:pPr>
    </w:p>
    <w:p w:rsidR="005B6C43" w:rsidRDefault="005B6C43" w:rsidP="00EC3971">
      <w:pPr>
        <w:pStyle w:val="PlainText"/>
        <w:rPr>
          <w:sz w:val="24"/>
          <w:szCs w:val="24"/>
        </w:rPr>
      </w:pPr>
    </w:p>
    <w:p w:rsidR="002B71C5" w:rsidRPr="00EE3F32" w:rsidRDefault="002B71C5" w:rsidP="00EC3971">
      <w:pPr>
        <w:pStyle w:val="PlainText"/>
        <w:rPr>
          <w:sz w:val="24"/>
          <w:szCs w:val="24"/>
        </w:rPr>
      </w:pPr>
    </w:p>
    <w:sectPr w:rsidR="002B71C5" w:rsidRPr="00EE3F32" w:rsidSect="00BF6C3A">
      <w:footerReference w:type="default" r:id="rId9"/>
      <w:type w:val="continuous"/>
      <w:pgSz w:w="12240" w:h="15840"/>
      <w:pgMar w:top="1080" w:right="1080" w:bottom="108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24F" w:rsidRDefault="00DB724F" w:rsidP="003005EE">
      <w:r>
        <w:separator/>
      </w:r>
    </w:p>
  </w:endnote>
  <w:endnote w:type="continuationSeparator" w:id="0">
    <w:p w:rsidR="00DB724F" w:rsidRDefault="00DB724F" w:rsidP="0030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8719"/>
      <w:docPartObj>
        <w:docPartGallery w:val="Page Numbers (Bottom of Page)"/>
        <w:docPartUnique/>
      </w:docPartObj>
    </w:sdtPr>
    <w:sdtEndPr/>
    <w:sdtContent>
      <w:p w:rsidR="003005EE" w:rsidRDefault="006846CC">
        <w:pPr>
          <w:pStyle w:val="Footer"/>
          <w:jc w:val="center"/>
        </w:pPr>
        <w:r>
          <w:fldChar w:fldCharType="begin"/>
        </w:r>
        <w:r>
          <w:instrText xml:space="preserve"> PAGE   \* MERGEFORMAT </w:instrText>
        </w:r>
        <w:r>
          <w:fldChar w:fldCharType="separate"/>
        </w:r>
        <w:r w:rsidR="0021115B">
          <w:rPr>
            <w:noProof/>
          </w:rPr>
          <w:t>1</w:t>
        </w:r>
        <w:r>
          <w:rPr>
            <w:noProof/>
          </w:rPr>
          <w:fldChar w:fldCharType="end"/>
        </w:r>
      </w:p>
    </w:sdtContent>
  </w:sdt>
  <w:p w:rsidR="003005EE" w:rsidRDefault="003005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24F" w:rsidRDefault="00DB724F" w:rsidP="003005EE">
      <w:r>
        <w:separator/>
      </w:r>
    </w:p>
  </w:footnote>
  <w:footnote w:type="continuationSeparator" w:id="0">
    <w:p w:rsidR="00DB724F" w:rsidRDefault="00DB724F" w:rsidP="003005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4C2"/>
    <w:multiLevelType w:val="hybridMultilevel"/>
    <w:tmpl w:val="45C0330C"/>
    <w:lvl w:ilvl="0" w:tplc="DBB40AF4">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76F92"/>
    <w:multiLevelType w:val="hybridMultilevel"/>
    <w:tmpl w:val="C8C255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E6697"/>
    <w:multiLevelType w:val="hybridMultilevel"/>
    <w:tmpl w:val="82A805E2"/>
    <w:lvl w:ilvl="0" w:tplc="04090001">
      <w:start w:val="1"/>
      <w:numFmt w:val="bullet"/>
      <w:lvlText w:val=""/>
      <w:lvlJc w:val="left"/>
      <w:pPr>
        <w:ind w:left="720" w:hanging="360"/>
      </w:pPr>
      <w:rPr>
        <w:rFonts w:ascii="Symbol" w:hAnsi="Symbol" w:hint="default"/>
      </w:rPr>
    </w:lvl>
    <w:lvl w:ilvl="1" w:tplc="FE2C632C">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7056D4"/>
    <w:multiLevelType w:val="hybridMultilevel"/>
    <w:tmpl w:val="ED047BEE"/>
    <w:lvl w:ilvl="0" w:tplc="4D6EED7A">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11BBF"/>
    <w:multiLevelType w:val="hybridMultilevel"/>
    <w:tmpl w:val="E1FE6B3C"/>
    <w:lvl w:ilvl="0" w:tplc="553EB70E">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EC2A6B"/>
    <w:multiLevelType w:val="hybridMultilevel"/>
    <w:tmpl w:val="51E43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AA3D8F"/>
    <w:multiLevelType w:val="hybridMultilevel"/>
    <w:tmpl w:val="AB8EF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902AEF"/>
    <w:multiLevelType w:val="hybridMultilevel"/>
    <w:tmpl w:val="9600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F14E86"/>
    <w:multiLevelType w:val="hybridMultilevel"/>
    <w:tmpl w:val="FFB458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FC458BD"/>
    <w:multiLevelType w:val="hybridMultilevel"/>
    <w:tmpl w:val="29E81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EB14C1"/>
    <w:multiLevelType w:val="hybridMultilevel"/>
    <w:tmpl w:val="3404D9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FE3FC9"/>
    <w:multiLevelType w:val="hybridMultilevel"/>
    <w:tmpl w:val="3C12F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61C09"/>
    <w:multiLevelType w:val="hybridMultilevel"/>
    <w:tmpl w:val="84FE6DD8"/>
    <w:lvl w:ilvl="0" w:tplc="E5AC966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6B7339"/>
    <w:multiLevelType w:val="hybridMultilevel"/>
    <w:tmpl w:val="4B742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AA6A79"/>
    <w:multiLevelType w:val="hybridMultilevel"/>
    <w:tmpl w:val="3C12F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BB4216"/>
    <w:multiLevelType w:val="hybridMultilevel"/>
    <w:tmpl w:val="88C68274"/>
    <w:lvl w:ilvl="0" w:tplc="F16C5F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C46420"/>
    <w:multiLevelType w:val="hybridMultilevel"/>
    <w:tmpl w:val="E6E0A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3C0146"/>
    <w:multiLevelType w:val="hybridMultilevel"/>
    <w:tmpl w:val="F634CCF8"/>
    <w:lvl w:ilvl="0" w:tplc="F8F202D8">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CF17D0"/>
    <w:multiLevelType w:val="hybridMultilevel"/>
    <w:tmpl w:val="50762DA4"/>
    <w:lvl w:ilvl="0" w:tplc="ADFC0A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3D2CE4"/>
    <w:multiLevelType w:val="hybridMultilevel"/>
    <w:tmpl w:val="BD144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0410D2"/>
    <w:multiLevelType w:val="hybridMultilevel"/>
    <w:tmpl w:val="F230A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EC2F4C"/>
    <w:multiLevelType w:val="hybridMultilevel"/>
    <w:tmpl w:val="F2BCB75C"/>
    <w:lvl w:ilvl="0" w:tplc="E5AC966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F72496"/>
    <w:multiLevelType w:val="hybridMultilevel"/>
    <w:tmpl w:val="937EE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186D33"/>
    <w:multiLevelType w:val="hybridMultilevel"/>
    <w:tmpl w:val="FC8E76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EF6415"/>
    <w:multiLevelType w:val="hybridMultilevel"/>
    <w:tmpl w:val="807A5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D847FF"/>
    <w:multiLevelType w:val="hybridMultilevel"/>
    <w:tmpl w:val="40F8D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A77994"/>
    <w:multiLevelType w:val="hybridMultilevel"/>
    <w:tmpl w:val="BAC22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1D1697"/>
    <w:multiLevelType w:val="hybridMultilevel"/>
    <w:tmpl w:val="924E1E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993F57"/>
    <w:multiLevelType w:val="hybridMultilevel"/>
    <w:tmpl w:val="4A728F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B66BE8"/>
    <w:multiLevelType w:val="hybridMultilevel"/>
    <w:tmpl w:val="C67E6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062D85"/>
    <w:multiLevelType w:val="hybridMultilevel"/>
    <w:tmpl w:val="D13C7E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1919A9"/>
    <w:multiLevelType w:val="hybridMultilevel"/>
    <w:tmpl w:val="7004AD80"/>
    <w:lvl w:ilvl="0" w:tplc="AC8C1AE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A2E3336"/>
    <w:multiLevelType w:val="hybridMultilevel"/>
    <w:tmpl w:val="8CD07300"/>
    <w:lvl w:ilvl="0" w:tplc="B1824A86">
      <w:start w:val="1"/>
      <w:numFmt w:val="decimal"/>
      <w:lvlText w:val="%1."/>
      <w:lvlJc w:val="left"/>
      <w:pPr>
        <w:ind w:left="720" w:hanging="360"/>
      </w:pPr>
      <w:rPr>
        <w:rFonts w:ascii="Calibri" w:hAnsi="Calibri" w:cs="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D797898"/>
    <w:multiLevelType w:val="hybridMultilevel"/>
    <w:tmpl w:val="84901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D42FFD"/>
    <w:multiLevelType w:val="hybridMultilevel"/>
    <w:tmpl w:val="554EE66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71505A92"/>
    <w:multiLevelType w:val="hybridMultilevel"/>
    <w:tmpl w:val="0AA0FA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4261428"/>
    <w:multiLevelType w:val="hybridMultilevel"/>
    <w:tmpl w:val="3C12F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912250"/>
    <w:multiLevelType w:val="hybridMultilevel"/>
    <w:tmpl w:val="132A7E32"/>
    <w:lvl w:ilvl="0" w:tplc="E37A5F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AA4F7A"/>
    <w:multiLevelType w:val="hybridMultilevel"/>
    <w:tmpl w:val="BD18B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A728F8"/>
    <w:multiLevelType w:val="hybridMultilevel"/>
    <w:tmpl w:val="132A7E32"/>
    <w:lvl w:ilvl="0" w:tplc="E37A5F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D80F2C"/>
    <w:multiLevelType w:val="hybridMultilevel"/>
    <w:tmpl w:val="35D6E2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78907AF6"/>
    <w:multiLevelType w:val="hybridMultilevel"/>
    <w:tmpl w:val="106E9800"/>
    <w:lvl w:ilvl="0" w:tplc="E5AC966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AF2CA9"/>
    <w:multiLevelType w:val="hybridMultilevel"/>
    <w:tmpl w:val="8F320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B6D46FC"/>
    <w:multiLevelType w:val="hybridMultilevel"/>
    <w:tmpl w:val="A3F20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04406B"/>
    <w:multiLevelType w:val="hybridMultilevel"/>
    <w:tmpl w:val="8B26D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9A121F"/>
    <w:multiLevelType w:val="hybridMultilevel"/>
    <w:tmpl w:val="456808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8"/>
  </w:num>
  <w:num w:numId="2">
    <w:abstractNumId w:val="37"/>
  </w:num>
  <w:num w:numId="3">
    <w:abstractNumId w:val="33"/>
  </w:num>
  <w:num w:numId="4">
    <w:abstractNumId w:val="26"/>
  </w:num>
  <w:num w:numId="5">
    <w:abstractNumId w:val="25"/>
  </w:num>
  <w:num w:numId="6">
    <w:abstractNumId w:val="1"/>
  </w:num>
  <w:num w:numId="7">
    <w:abstractNumId w:val="19"/>
  </w:num>
  <w:num w:numId="8">
    <w:abstractNumId w:val="14"/>
  </w:num>
  <w:num w:numId="9">
    <w:abstractNumId w:val="39"/>
  </w:num>
  <w:num w:numId="10">
    <w:abstractNumId w:val="43"/>
  </w:num>
  <w:num w:numId="11">
    <w:abstractNumId w:val="5"/>
  </w:num>
  <w:num w:numId="12">
    <w:abstractNumId w:val="0"/>
  </w:num>
  <w:num w:numId="13">
    <w:abstractNumId w:val="4"/>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8"/>
  </w:num>
  <w:num w:numId="18">
    <w:abstractNumId w:val="36"/>
  </w:num>
  <w:num w:numId="19">
    <w:abstractNumId w:val="45"/>
  </w:num>
  <w:num w:numId="20">
    <w:abstractNumId w:val="16"/>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40"/>
  </w:num>
  <w:num w:numId="24">
    <w:abstractNumId w:val="9"/>
  </w:num>
  <w:num w:numId="25">
    <w:abstractNumId w:val="42"/>
  </w:num>
  <w:num w:numId="26">
    <w:abstractNumId w:val="44"/>
  </w:num>
  <w:num w:numId="27">
    <w:abstractNumId w:val="3"/>
  </w:num>
  <w:num w:numId="28">
    <w:abstractNumId w:val="18"/>
  </w:num>
  <w:num w:numId="29">
    <w:abstractNumId w:val="17"/>
  </w:num>
  <w:num w:numId="30">
    <w:abstractNumId w:val="29"/>
  </w:num>
  <w:num w:numId="31">
    <w:abstractNumId w:val="15"/>
  </w:num>
  <w:num w:numId="32">
    <w:abstractNumId w:val="23"/>
  </w:num>
  <w:num w:numId="33">
    <w:abstractNumId w:val="28"/>
  </w:num>
  <w:num w:numId="34">
    <w:abstractNumId w:val="10"/>
  </w:num>
  <w:num w:numId="35">
    <w:abstractNumId w:val="27"/>
  </w:num>
  <w:num w:numId="36">
    <w:abstractNumId w:val="30"/>
  </w:num>
  <w:num w:numId="37">
    <w:abstractNumId w:val="13"/>
  </w:num>
  <w:num w:numId="38">
    <w:abstractNumId w:val="6"/>
  </w:num>
  <w:num w:numId="39">
    <w:abstractNumId w:val="21"/>
  </w:num>
  <w:num w:numId="40">
    <w:abstractNumId w:val="41"/>
  </w:num>
  <w:num w:numId="41">
    <w:abstractNumId w:val="12"/>
  </w:num>
  <w:num w:numId="42">
    <w:abstractNumId w:val="2"/>
  </w:num>
  <w:num w:numId="43">
    <w:abstractNumId w:val="24"/>
  </w:num>
  <w:num w:numId="44">
    <w:abstractNumId w:val="22"/>
  </w:num>
  <w:num w:numId="45">
    <w:abstractNumId w:val="7"/>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21E32"/>
    <w:rsid w:val="00000732"/>
    <w:rsid w:val="00001303"/>
    <w:rsid w:val="000021DF"/>
    <w:rsid w:val="00002365"/>
    <w:rsid w:val="00004322"/>
    <w:rsid w:val="00004577"/>
    <w:rsid w:val="00005410"/>
    <w:rsid w:val="00005E44"/>
    <w:rsid w:val="00010DC2"/>
    <w:rsid w:val="00013C69"/>
    <w:rsid w:val="000142A3"/>
    <w:rsid w:val="00015C95"/>
    <w:rsid w:val="0001776C"/>
    <w:rsid w:val="0002019B"/>
    <w:rsid w:val="00020929"/>
    <w:rsid w:val="000217F8"/>
    <w:rsid w:val="00024078"/>
    <w:rsid w:val="00024872"/>
    <w:rsid w:val="00026347"/>
    <w:rsid w:val="00027693"/>
    <w:rsid w:val="00035556"/>
    <w:rsid w:val="0003606D"/>
    <w:rsid w:val="00036CD0"/>
    <w:rsid w:val="00040435"/>
    <w:rsid w:val="00040DBF"/>
    <w:rsid w:val="00041EFF"/>
    <w:rsid w:val="00042155"/>
    <w:rsid w:val="000426DD"/>
    <w:rsid w:val="00045840"/>
    <w:rsid w:val="00047A4F"/>
    <w:rsid w:val="00054F6E"/>
    <w:rsid w:val="00054FAA"/>
    <w:rsid w:val="000576D9"/>
    <w:rsid w:val="00057D6E"/>
    <w:rsid w:val="00061A4E"/>
    <w:rsid w:val="00062431"/>
    <w:rsid w:val="00063F8D"/>
    <w:rsid w:val="0006437F"/>
    <w:rsid w:val="00066DCF"/>
    <w:rsid w:val="00066F58"/>
    <w:rsid w:val="000709C6"/>
    <w:rsid w:val="00073B43"/>
    <w:rsid w:val="00073D96"/>
    <w:rsid w:val="0007452D"/>
    <w:rsid w:val="00076387"/>
    <w:rsid w:val="00077A00"/>
    <w:rsid w:val="00080F49"/>
    <w:rsid w:val="00086973"/>
    <w:rsid w:val="000902B5"/>
    <w:rsid w:val="00090CF7"/>
    <w:rsid w:val="00092FF2"/>
    <w:rsid w:val="00094693"/>
    <w:rsid w:val="00094B57"/>
    <w:rsid w:val="0009564E"/>
    <w:rsid w:val="000A0169"/>
    <w:rsid w:val="000A0EB8"/>
    <w:rsid w:val="000A2C83"/>
    <w:rsid w:val="000A3318"/>
    <w:rsid w:val="000A43B8"/>
    <w:rsid w:val="000A4F4A"/>
    <w:rsid w:val="000B14BF"/>
    <w:rsid w:val="000B1975"/>
    <w:rsid w:val="000B36FA"/>
    <w:rsid w:val="000B3C14"/>
    <w:rsid w:val="000B47DE"/>
    <w:rsid w:val="000B78C3"/>
    <w:rsid w:val="000C257E"/>
    <w:rsid w:val="000C414A"/>
    <w:rsid w:val="000C50BE"/>
    <w:rsid w:val="000D0D36"/>
    <w:rsid w:val="000D1C7D"/>
    <w:rsid w:val="000D22FB"/>
    <w:rsid w:val="000D499C"/>
    <w:rsid w:val="000D71AA"/>
    <w:rsid w:val="000D7B7F"/>
    <w:rsid w:val="000E1E14"/>
    <w:rsid w:val="000E2075"/>
    <w:rsid w:val="000E2190"/>
    <w:rsid w:val="000E375A"/>
    <w:rsid w:val="000E3866"/>
    <w:rsid w:val="000E5CDB"/>
    <w:rsid w:val="000E735E"/>
    <w:rsid w:val="000F2DE1"/>
    <w:rsid w:val="000F475D"/>
    <w:rsid w:val="000F515C"/>
    <w:rsid w:val="000F6D47"/>
    <w:rsid w:val="000F7F35"/>
    <w:rsid w:val="00100F26"/>
    <w:rsid w:val="001027F6"/>
    <w:rsid w:val="00104C4A"/>
    <w:rsid w:val="00104C7D"/>
    <w:rsid w:val="00106B6D"/>
    <w:rsid w:val="00107394"/>
    <w:rsid w:val="00110CF6"/>
    <w:rsid w:val="001116D7"/>
    <w:rsid w:val="00112178"/>
    <w:rsid w:val="00112D28"/>
    <w:rsid w:val="00116DEE"/>
    <w:rsid w:val="00120BBF"/>
    <w:rsid w:val="001239A6"/>
    <w:rsid w:val="00123FBF"/>
    <w:rsid w:val="00124126"/>
    <w:rsid w:val="00125B2D"/>
    <w:rsid w:val="00126570"/>
    <w:rsid w:val="00126C97"/>
    <w:rsid w:val="00130131"/>
    <w:rsid w:val="00130280"/>
    <w:rsid w:val="00130D4D"/>
    <w:rsid w:val="0013182D"/>
    <w:rsid w:val="00131E6D"/>
    <w:rsid w:val="001334EA"/>
    <w:rsid w:val="00135796"/>
    <w:rsid w:val="00135BF7"/>
    <w:rsid w:val="00136674"/>
    <w:rsid w:val="0013682F"/>
    <w:rsid w:val="00136C72"/>
    <w:rsid w:val="00137EEA"/>
    <w:rsid w:val="00140464"/>
    <w:rsid w:val="00140635"/>
    <w:rsid w:val="00141BBD"/>
    <w:rsid w:val="00151B84"/>
    <w:rsid w:val="00151DA6"/>
    <w:rsid w:val="00151F13"/>
    <w:rsid w:val="001528EE"/>
    <w:rsid w:val="00152A8D"/>
    <w:rsid w:val="00153411"/>
    <w:rsid w:val="00153C8B"/>
    <w:rsid w:val="0015424C"/>
    <w:rsid w:val="00154566"/>
    <w:rsid w:val="001553DA"/>
    <w:rsid w:val="0015661E"/>
    <w:rsid w:val="00156BF0"/>
    <w:rsid w:val="0015788D"/>
    <w:rsid w:val="001634C5"/>
    <w:rsid w:val="001670B7"/>
    <w:rsid w:val="00170347"/>
    <w:rsid w:val="0017097F"/>
    <w:rsid w:val="00172F2F"/>
    <w:rsid w:val="00175062"/>
    <w:rsid w:val="00176E77"/>
    <w:rsid w:val="00177BD3"/>
    <w:rsid w:val="00182CFA"/>
    <w:rsid w:val="001852A5"/>
    <w:rsid w:val="001915D6"/>
    <w:rsid w:val="00191FEE"/>
    <w:rsid w:val="00193BB7"/>
    <w:rsid w:val="00195706"/>
    <w:rsid w:val="00195C2D"/>
    <w:rsid w:val="00196822"/>
    <w:rsid w:val="00196916"/>
    <w:rsid w:val="001A2DF3"/>
    <w:rsid w:val="001A4EB3"/>
    <w:rsid w:val="001A5D67"/>
    <w:rsid w:val="001A6BA6"/>
    <w:rsid w:val="001A7898"/>
    <w:rsid w:val="001B162E"/>
    <w:rsid w:val="001B5719"/>
    <w:rsid w:val="001C1F92"/>
    <w:rsid w:val="001C3507"/>
    <w:rsid w:val="001C49E3"/>
    <w:rsid w:val="001C6D98"/>
    <w:rsid w:val="001D0372"/>
    <w:rsid w:val="001D2796"/>
    <w:rsid w:val="001D284A"/>
    <w:rsid w:val="001D5FB9"/>
    <w:rsid w:val="001D660F"/>
    <w:rsid w:val="001E2795"/>
    <w:rsid w:val="001E4254"/>
    <w:rsid w:val="001E7714"/>
    <w:rsid w:val="001F0126"/>
    <w:rsid w:val="001F0E7B"/>
    <w:rsid w:val="001F2380"/>
    <w:rsid w:val="001F2473"/>
    <w:rsid w:val="001F31CE"/>
    <w:rsid w:val="001F45D7"/>
    <w:rsid w:val="001F4A2A"/>
    <w:rsid w:val="001F66C1"/>
    <w:rsid w:val="00201041"/>
    <w:rsid w:val="002021E7"/>
    <w:rsid w:val="00202F9A"/>
    <w:rsid w:val="00206449"/>
    <w:rsid w:val="00210AD4"/>
    <w:rsid w:val="00210F51"/>
    <w:rsid w:val="0021115B"/>
    <w:rsid w:val="0021201C"/>
    <w:rsid w:val="00214D3F"/>
    <w:rsid w:val="00214EA8"/>
    <w:rsid w:val="00217358"/>
    <w:rsid w:val="002207FF"/>
    <w:rsid w:val="00220991"/>
    <w:rsid w:val="00223D2E"/>
    <w:rsid w:val="002242E7"/>
    <w:rsid w:val="002259C5"/>
    <w:rsid w:val="0022718B"/>
    <w:rsid w:val="00227552"/>
    <w:rsid w:val="00227636"/>
    <w:rsid w:val="002316BB"/>
    <w:rsid w:val="00231D0C"/>
    <w:rsid w:val="00234347"/>
    <w:rsid w:val="002349A4"/>
    <w:rsid w:val="00235F29"/>
    <w:rsid w:val="00237A5F"/>
    <w:rsid w:val="0024379A"/>
    <w:rsid w:val="00245AD8"/>
    <w:rsid w:val="00247E54"/>
    <w:rsid w:val="002523DC"/>
    <w:rsid w:val="00253AEB"/>
    <w:rsid w:val="002612F7"/>
    <w:rsid w:val="0026279E"/>
    <w:rsid w:val="002708F0"/>
    <w:rsid w:val="00271654"/>
    <w:rsid w:val="002718FE"/>
    <w:rsid w:val="002730AB"/>
    <w:rsid w:val="00276D60"/>
    <w:rsid w:val="0027776F"/>
    <w:rsid w:val="00282F91"/>
    <w:rsid w:val="002834FB"/>
    <w:rsid w:val="00286AD0"/>
    <w:rsid w:val="00290E3C"/>
    <w:rsid w:val="002924A1"/>
    <w:rsid w:val="00295E67"/>
    <w:rsid w:val="002964EC"/>
    <w:rsid w:val="0029678C"/>
    <w:rsid w:val="002A264E"/>
    <w:rsid w:val="002A65F7"/>
    <w:rsid w:val="002A6D8D"/>
    <w:rsid w:val="002A7E3A"/>
    <w:rsid w:val="002B57AB"/>
    <w:rsid w:val="002B6F2A"/>
    <w:rsid w:val="002B71C5"/>
    <w:rsid w:val="002B7FEE"/>
    <w:rsid w:val="002C01AA"/>
    <w:rsid w:val="002C65CE"/>
    <w:rsid w:val="002C7256"/>
    <w:rsid w:val="002D2BF1"/>
    <w:rsid w:val="002D2FE9"/>
    <w:rsid w:val="002D56E1"/>
    <w:rsid w:val="002D6792"/>
    <w:rsid w:val="002E0E06"/>
    <w:rsid w:val="002E11D8"/>
    <w:rsid w:val="002E3EEF"/>
    <w:rsid w:val="002E532A"/>
    <w:rsid w:val="002F0872"/>
    <w:rsid w:val="002F1EBD"/>
    <w:rsid w:val="002F422B"/>
    <w:rsid w:val="002F555E"/>
    <w:rsid w:val="002F7971"/>
    <w:rsid w:val="003005EE"/>
    <w:rsid w:val="00301111"/>
    <w:rsid w:val="0030125E"/>
    <w:rsid w:val="00302641"/>
    <w:rsid w:val="00302C56"/>
    <w:rsid w:val="0030333C"/>
    <w:rsid w:val="00303909"/>
    <w:rsid w:val="00304AAF"/>
    <w:rsid w:val="00307501"/>
    <w:rsid w:val="00307D9F"/>
    <w:rsid w:val="00310CFC"/>
    <w:rsid w:val="00310E05"/>
    <w:rsid w:val="003116AA"/>
    <w:rsid w:val="00311C66"/>
    <w:rsid w:val="00312261"/>
    <w:rsid w:val="00312A11"/>
    <w:rsid w:val="00313124"/>
    <w:rsid w:val="00316771"/>
    <w:rsid w:val="00320FD2"/>
    <w:rsid w:val="00322321"/>
    <w:rsid w:val="00322780"/>
    <w:rsid w:val="00322FCB"/>
    <w:rsid w:val="00327671"/>
    <w:rsid w:val="00330E96"/>
    <w:rsid w:val="0033117D"/>
    <w:rsid w:val="003317E4"/>
    <w:rsid w:val="00332F6A"/>
    <w:rsid w:val="003346BD"/>
    <w:rsid w:val="00335A87"/>
    <w:rsid w:val="00336EAE"/>
    <w:rsid w:val="00340877"/>
    <w:rsid w:val="00340A6D"/>
    <w:rsid w:val="00340D3B"/>
    <w:rsid w:val="003416FB"/>
    <w:rsid w:val="0034385E"/>
    <w:rsid w:val="0034456D"/>
    <w:rsid w:val="003446A1"/>
    <w:rsid w:val="003448F2"/>
    <w:rsid w:val="00344BB8"/>
    <w:rsid w:val="0034542D"/>
    <w:rsid w:val="00345D46"/>
    <w:rsid w:val="00347966"/>
    <w:rsid w:val="00347BD5"/>
    <w:rsid w:val="003534BD"/>
    <w:rsid w:val="00355225"/>
    <w:rsid w:val="0035604D"/>
    <w:rsid w:val="00356A79"/>
    <w:rsid w:val="00357BC8"/>
    <w:rsid w:val="00360165"/>
    <w:rsid w:val="0036034C"/>
    <w:rsid w:val="003616B2"/>
    <w:rsid w:val="0036238E"/>
    <w:rsid w:val="003633A4"/>
    <w:rsid w:val="003640DA"/>
    <w:rsid w:val="00372C3B"/>
    <w:rsid w:val="00373CB3"/>
    <w:rsid w:val="00376BC3"/>
    <w:rsid w:val="00382B3A"/>
    <w:rsid w:val="00383993"/>
    <w:rsid w:val="00385698"/>
    <w:rsid w:val="00385B88"/>
    <w:rsid w:val="00390B2E"/>
    <w:rsid w:val="00391499"/>
    <w:rsid w:val="003930AD"/>
    <w:rsid w:val="00394383"/>
    <w:rsid w:val="00394CA4"/>
    <w:rsid w:val="00397ED9"/>
    <w:rsid w:val="003A043A"/>
    <w:rsid w:val="003A0881"/>
    <w:rsid w:val="003A189B"/>
    <w:rsid w:val="003A3A1E"/>
    <w:rsid w:val="003A4901"/>
    <w:rsid w:val="003A551B"/>
    <w:rsid w:val="003A7C91"/>
    <w:rsid w:val="003A7E85"/>
    <w:rsid w:val="003B1448"/>
    <w:rsid w:val="003B19B7"/>
    <w:rsid w:val="003B1CB8"/>
    <w:rsid w:val="003B493C"/>
    <w:rsid w:val="003B4EB2"/>
    <w:rsid w:val="003B5660"/>
    <w:rsid w:val="003B665F"/>
    <w:rsid w:val="003B6B72"/>
    <w:rsid w:val="003B7F16"/>
    <w:rsid w:val="003C1C76"/>
    <w:rsid w:val="003C21FA"/>
    <w:rsid w:val="003C37A1"/>
    <w:rsid w:val="003C3AE7"/>
    <w:rsid w:val="003C5C1A"/>
    <w:rsid w:val="003C7419"/>
    <w:rsid w:val="003C7488"/>
    <w:rsid w:val="003C7FC2"/>
    <w:rsid w:val="003D07F4"/>
    <w:rsid w:val="003D0EF4"/>
    <w:rsid w:val="003D0F4F"/>
    <w:rsid w:val="003D2D5B"/>
    <w:rsid w:val="003D31B0"/>
    <w:rsid w:val="003D3AC6"/>
    <w:rsid w:val="003D4448"/>
    <w:rsid w:val="003D5D1B"/>
    <w:rsid w:val="003D5DCB"/>
    <w:rsid w:val="003D6EBD"/>
    <w:rsid w:val="003D7112"/>
    <w:rsid w:val="003E0243"/>
    <w:rsid w:val="003E4F04"/>
    <w:rsid w:val="003E7621"/>
    <w:rsid w:val="003F2005"/>
    <w:rsid w:val="003F240A"/>
    <w:rsid w:val="003F3314"/>
    <w:rsid w:val="003F6EB1"/>
    <w:rsid w:val="003F6FEE"/>
    <w:rsid w:val="00404CFC"/>
    <w:rsid w:val="00405270"/>
    <w:rsid w:val="00405885"/>
    <w:rsid w:val="00407751"/>
    <w:rsid w:val="00411CA5"/>
    <w:rsid w:val="00416AC3"/>
    <w:rsid w:val="004178BF"/>
    <w:rsid w:val="004208F3"/>
    <w:rsid w:val="004249A7"/>
    <w:rsid w:val="00424AA9"/>
    <w:rsid w:val="00426792"/>
    <w:rsid w:val="0043418D"/>
    <w:rsid w:val="00435E94"/>
    <w:rsid w:val="00437576"/>
    <w:rsid w:val="00440D54"/>
    <w:rsid w:val="0044145D"/>
    <w:rsid w:val="004414EC"/>
    <w:rsid w:val="004422D2"/>
    <w:rsid w:val="00444340"/>
    <w:rsid w:val="0045091A"/>
    <w:rsid w:val="00450B94"/>
    <w:rsid w:val="0045138E"/>
    <w:rsid w:val="00451F79"/>
    <w:rsid w:val="004536E1"/>
    <w:rsid w:val="004539F7"/>
    <w:rsid w:val="00453D12"/>
    <w:rsid w:val="0045422C"/>
    <w:rsid w:val="00457A4D"/>
    <w:rsid w:val="00460B4B"/>
    <w:rsid w:val="00462924"/>
    <w:rsid w:val="004631F1"/>
    <w:rsid w:val="00467488"/>
    <w:rsid w:val="0046787E"/>
    <w:rsid w:val="00471362"/>
    <w:rsid w:val="00472A33"/>
    <w:rsid w:val="00480DBA"/>
    <w:rsid w:val="00481188"/>
    <w:rsid w:val="004817E4"/>
    <w:rsid w:val="0048378A"/>
    <w:rsid w:val="00487ED0"/>
    <w:rsid w:val="00491C5A"/>
    <w:rsid w:val="0049413C"/>
    <w:rsid w:val="00494449"/>
    <w:rsid w:val="00494DE1"/>
    <w:rsid w:val="004A2ADF"/>
    <w:rsid w:val="004B00EB"/>
    <w:rsid w:val="004B221D"/>
    <w:rsid w:val="004B251E"/>
    <w:rsid w:val="004B4EF6"/>
    <w:rsid w:val="004B6615"/>
    <w:rsid w:val="004B68E5"/>
    <w:rsid w:val="004B6900"/>
    <w:rsid w:val="004C026F"/>
    <w:rsid w:val="004C1ED5"/>
    <w:rsid w:val="004C5581"/>
    <w:rsid w:val="004C66F4"/>
    <w:rsid w:val="004D0455"/>
    <w:rsid w:val="004D060A"/>
    <w:rsid w:val="004D1784"/>
    <w:rsid w:val="004D2F2E"/>
    <w:rsid w:val="004D2FDA"/>
    <w:rsid w:val="004D4DA1"/>
    <w:rsid w:val="004D5CBB"/>
    <w:rsid w:val="004D5EE4"/>
    <w:rsid w:val="004D689F"/>
    <w:rsid w:val="004D6D03"/>
    <w:rsid w:val="004D6DBA"/>
    <w:rsid w:val="004E2191"/>
    <w:rsid w:val="004E32B3"/>
    <w:rsid w:val="004E400D"/>
    <w:rsid w:val="004E497B"/>
    <w:rsid w:val="004E4F21"/>
    <w:rsid w:val="004E5F76"/>
    <w:rsid w:val="004E7850"/>
    <w:rsid w:val="004F0439"/>
    <w:rsid w:val="004F1E99"/>
    <w:rsid w:val="004F2085"/>
    <w:rsid w:val="004F5D99"/>
    <w:rsid w:val="004F62D5"/>
    <w:rsid w:val="005007C0"/>
    <w:rsid w:val="00501A86"/>
    <w:rsid w:val="005023B6"/>
    <w:rsid w:val="00503D72"/>
    <w:rsid w:val="00503FF4"/>
    <w:rsid w:val="00505DB1"/>
    <w:rsid w:val="00505DF8"/>
    <w:rsid w:val="00506839"/>
    <w:rsid w:val="0050754C"/>
    <w:rsid w:val="005109A1"/>
    <w:rsid w:val="00511BC1"/>
    <w:rsid w:val="005146E6"/>
    <w:rsid w:val="00514C48"/>
    <w:rsid w:val="005156D0"/>
    <w:rsid w:val="0052020A"/>
    <w:rsid w:val="005205A9"/>
    <w:rsid w:val="0052294B"/>
    <w:rsid w:val="00522F89"/>
    <w:rsid w:val="00527891"/>
    <w:rsid w:val="00527B2A"/>
    <w:rsid w:val="00530812"/>
    <w:rsid w:val="0053171F"/>
    <w:rsid w:val="0053328B"/>
    <w:rsid w:val="005343D8"/>
    <w:rsid w:val="00537A76"/>
    <w:rsid w:val="00537F96"/>
    <w:rsid w:val="00541FBF"/>
    <w:rsid w:val="0054246D"/>
    <w:rsid w:val="00543B06"/>
    <w:rsid w:val="00544C14"/>
    <w:rsid w:val="005452DB"/>
    <w:rsid w:val="0054717C"/>
    <w:rsid w:val="00547315"/>
    <w:rsid w:val="005501EE"/>
    <w:rsid w:val="00550D00"/>
    <w:rsid w:val="0055204B"/>
    <w:rsid w:val="005546C7"/>
    <w:rsid w:val="0055695D"/>
    <w:rsid w:val="00557ECB"/>
    <w:rsid w:val="00560797"/>
    <w:rsid w:val="00561BA0"/>
    <w:rsid w:val="00564221"/>
    <w:rsid w:val="00565948"/>
    <w:rsid w:val="00566DA1"/>
    <w:rsid w:val="00567484"/>
    <w:rsid w:val="00571484"/>
    <w:rsid w:val="0057205A"/>
    <w:rsid w:val="005734EB"/>
    <w:rsid w:val="00573C0C"/>
    <w:rsid w:val="005750E7"/>
    <w:rsid w:val="0057547A"/>
    <w:rsid w:val="005761F8"/>
    <w:rsid w:val="00582557"/>
    <w:rsid w:val="00584B61"/>
    <w:rsid w:val="00587500"/>
    <w:rsid w:val="00590434"/>
    <w:rsid w:val="005925FB"/>
    <w:rsid w:val="00594A35"/>
    <w:rsid w:val="00595D4B"/>
    <w:rsid w:val="005A11F5"/>
    <w:rsid w:val="005A2495"/>
    <w:rsid w:val="005A36B4"/>
    <w:rsid w:val="005A37F1"/>
    <w:rsid w:val="005A42AA"/>
    <w:rsid w:val="005A5283"/>
    <w:rsid w:val="005A7E73"/>
    <w:rsid w:val="005B1C45"/>
    <w:rsid w:val="005B22BB"/>
    <w:rsid w:val="005B4231"/>
    <w:rsid w:val="005B6C43"/>
    <w:rsid w:val="005B7030"/>
    <w:rsid w:val="005C37EE"/>
    <w:rsid w:val="005C45B3"/>
    <w:rsid w:val="005C60AA"/>
    <w:rsid w:val="005C7293"/>
    <w:rsid w:val="005D01D0"/>
    <w:rsid w:val="005D3F99"/>
    <w:rsid w:val="005D4C95"/>
    <w:rsid w:val="005D4F6F"/>
    <w:rsid w:val="005D588A"/>
    <w:rsid w:val="005D5DDB"/>
    <w:rsid w:val="005D6434"/>
    <w:rsid w:val="005E0689"/>
    <w:rsid w:val="005E2F91"/>
    <w:rsid w:val="005E3580"/>
    <w:rsid w:val="005E36AB"/>
    <w:rsid w:val="005E39C5"/>
    <w:rsid w:val="005E4779"/>
    <w:rsid w:val="005F12FE"/>
    <w:rsid w:val="005F13CA"/>
    <w:rsid w:val="005F308F"/>
    <w:rsid w:val="005F3151"/>
    <w:rsid w:val="005F5053"/>
    <w:rsid w:val="005F65CD"/>
    <w:rsid w:val="005F78E2"/>
    <w:rsid w:val="00600484"/>
    <w:rsid w:val="00602B2F"/>
    <w:rsid w:val="006100B8"/>
    <w:rsid w:val="006113C5"/>
    <w:rsid w:val="0061228E"/>
    <w:rsid w:val="0061654E"/>
    <w:rsid w:val="0062044F"/>
    <w:rsid w:val="006216F9"/>
    <w:rsid w:val="00622C94"/>
    <w:rsid w:val="00626E86"/>
    <w:rsid w:val="00626E9A"/>
    <w:rsid w:val="00630293"/>
    <w:rsid w:val="00630B6E"/>
    <w:rsid w:val="0063215C"/>
    <w:rsid w:val="00632520"/>
    <w:rsid w:val="00632D89"/>
    <w:rsid w:val="006337FB"/>
    <w:rsid w:val="0063394A"/>
    <w:rsid w:val="006357E3"/>
    <w:rsid w:val="00637BCD"/>
    <w:rsid w:val="00640385"/>
    <w:rsid w:val="00641AA7"/>
    <w:rsid w:val="006424FA"/>
    <w:rsid w:val="00643CAC"/>
    <w:rsid w:val="00645020"/>
    <w:rsid w:val="00645D7C"/>
    <w:rsid w:val="00653323"/>
    <w:rsid w:val="006552D9"/>
    <w:rsid w:val="00656159"/>
    <w:rsid w:val="0065652C"/>
    <w:rsid w:val="00656CC5"/>
    <w:rsid w:val="00657D10"/>
    <w:rsid w:val="00657EBE"/>
    <w:rsid w:val="00665FF5"/>
    <w:rsid w:val="00667833"/>
    <w:rsid w:val="006705F2"/>
    <w:rsid w:val="0067073C"/>
    <w:rsid w:val="00671AA5"/>
    <w:rsid w:val="006724FF"/>
    <w:rsid w:val="00672DA5"/>
    <w:rsid w:val="00673015"/>
    <w:rsid w:val="00674A1C"/>
    <w:rsid w:val="00677671"/>
    <w:rsid w:val="00677A06"/>
    <w:rsid w:val="00680627"/>
    <w:rsid w:val="006807BA"/>
    <w:rsid w:val="006808FE"/>
    <w:rsid w:val="00683DFF"/>
    <w:rsid w:val="006846CC"/>
    <w:rsid w:val="00684EE4"/>
    <w:rsid w:val="0068573F"/>
    <w:rsid w:val="00685D7A"/>
    <w:rsid w:val="006864AD"/>
    <w:rsid w:val="00687879"/>
    <w:rsid w:val="00692706"/>
    <w:rsid w:val="00692E94"/>
    <w:rsid w:val="006A4BF3"/>
    <w:rsid w:val="006A6EF3"/>
    <w:rsid w:val="006A7FF5"/>
    <w:rsid w:val="006B0279"/>
    <w:rsid w:val="006B450A"/>
    <w:rsid w:val="006B470F"/>
    <w:rsid w:val="006B4CBD"/>
    <w:rsid w:val="006B75C6"/>
    <w:rsid w:val="006B7B64"/>
    <w:rsid w:val="006C0DFB"/>
    <w:rsid w:val="006C1C25"/>
    <w:rsid w:val="006C1D5C"/>
    <w:rsid w:val="006C1FB5"/>
    <w:rsid w:val="006C3096"/>
    <w:rsid w:val="006C3168"/>
    <w:rsid w:val="006D29A2"/>
    <w:rsid w:val="006D352A"/>
    <w:rsid w:val="006E6ECF"/>
    <w:rsid w:val="006E6F6B"/>
    <w:rsid w:val="006F2F64"/>
    <w:rsid w:val="006F4A0D"/>
    <w:rsid w:val="00702384"/>
    <w:rsid w:val="007043EE"/>
    <w:rsid w:val="00707732"/>
    <w:rsid w:val="007106A7"/>
    <w:rsid w:val="00710A43"/>
    <w:rsid w:val="00711E24"/>
    <w:rsid w:val="00714F92"/>
    <w:rsid w:val="00716993"/>
    <w:rsid w:val="0071783B"/>
    <w:rsid w:val="0072038A"/>
    <w:rsid w:val="00720A35"/>
    <w:rsid w:val="00722AA7"/>
    <w:rsid w:val="0072335F"/>
    <w:rsid w:val="0072349E"/>
    <w:rsid w:val="007236FC"/>
    <w:rsid w:val="00723753"/>
    <w:rsid w:val="00725EA8"/>
    <w:rsid w:val="0073182C"/>
    <w:rsid w:val="007320C8"/>
    <w:rsid w:val="00733584"/>
    <w:rsid w:val="0073533F"/>
    <w:rsid w:val="0073545A"/>
    <w:rsid w:val="00736012"/>
    <w:rsid w:val="00740E82"/>
    <w:rsid w:val="007436FB"/>
    <w:rsid w:val="00744439"/>
    <w:rsid w:val="0074445D"/>
    <w:rsid w:val="00745BDA"/>
    <w:rsid w:val="00746B4C"/>
    <w:rsid w:val="00750BC4"/>
    <w:rsid w:val="00752D56"/>
    <w:rsid w:val="007537E7"/>
    <w:rsid w:val="0075434F"/>
    <w:rsid w:val="007548FC"/>
    <w:rsid w:val="007558A8"/>
    <w:rsid w:val="007637C2"/>
    <w:rsid w:val="00767805"/>
    <w:rsid w:val="0077097B"/>
    <w:rsid w:val="00771A35"/>
    <w:rsid w:val="007744CD"/>
    <w:rsid w:val="00774695"/>
    <w:rsid w:val="00775169"/>
    <w:rsid w:val="00777013"/>
    <w:rsid w:val="00777E56"/>
    <w:rsid w:val="00780056"/>
    <w:rsid w:val="0078111A"/>
    <w:rsid w:val="00782A19"/>
    <w:rsid w:val="007855D9"/>
    <w:rsid w:val="00787A7A"/>
    <w:rsid w:val="00791CA9"/>
    <w:rsid w:val="00791EAF"/>
    <w:rsid w:val="0079249A"/>
    <w:rsid w:val="007925AD"/>
    <w:rsid w:val="007936F4"/>
    <w:rsid w:val="00793742"/>
    <w:rsid w:val="00793F21"/>
    <w:rsid w:val="00793F82"/>
    <w:rsid w:val="007A0D91"/>
    <w:rsid w:val="007A45BB"/>
    <w:rsid w:val="007A581E"/>
    <w:rsid w:val="007A7EEE"/>
    <w:rsid w:val="007B0978"/>
    <w:rsid w:val="007B260C"/>
    <w:rsid w:val="007B5FDD"/>
    <w:rsid w:val="007C1480"/>
    <w:rsid w:val="007D0615"/>
    <w:rsid w:val="007D3FFB"/>
    <w:rsid w:val="007D4756"/>
    <w:rsid w:val="007D4A64"/>
    <w:rsid w:val="007D50EF"/>
    <w:rsid w:val="007D5DF0"/>
    <w:rsid w:val="007D6077"/>
    <w:rsid w:val="007D6461"/>
    <w:rsid w:val="007D6535"/>
    <w:rsid w:val="007E0985"/>
    <w:rsid w:val="007E1943"/>
    <w:rsid w:val="007E30B8"/>
    <w:rsid w:val="007E6142"/>
    <w:rsid w:val="007E6EC6"/>
    <w:rsid w:val="007F4655"/>
    <w:rsid w:val="007F4C6E"/>
    <w:rsid w:val="007F61CF"/>
    <w:rsid w:val="007F787E"/>
    <w:rsid w:val="008027F7"/>
    <w:rsid w:val="00804A27"/>
    <w:rsid w:val="00805CC3"/>
    <w:rsid w:val="00807CFB"/>
    <w:rsid w:val="00813C92"/>
    <w:rsid w:val="0081683A"/>
    <w:rsid w:val="0082349D"/>
    <w:rsid w:val="00823A59"/>
    <w:rsid w:val="0082581F"/>
    <w:rsid w:val="00826897"/>
    <w:rsid w:val="008305F8"/>
    <w:rsid w:val="00831180"/>
    <w:rsid w:val="008314C0"/>
    <w:rsid w:val="0083153D"/>
    <w:rsid w:val="00835E59"/>
    <w:rsid w:val="00836A01"/>
    <w:rsid w:val="00837A8A"/>
    <w:rsid w:val="008407A4"/>
    <w:rsid w:val="008448C6"/>
    <w:rsid w:val="00844D25"/>
    <w:rsid w:val="00846440"/>
    <w:rsid w:val="00847ABB"/>
    <w:rsid w:val="00850239"/>
    <w:rsid w:val="008508FF"/>
    <w:rsid w:val="00851560"/>
    <w:rsid w:val="008519DB"/>
    <w:rsid w:val="00853C6F"/>
    <w:rsid w:val="0085514B"/>
    <w:rsid w:val="00857A7E"/>
    <w:rsid w:val="008602E2"/>
    <w:rsid w:val="00862623"/>
    <w:rsid w:val="00866FC2"/>
    <w:rsid w:val="00867B56"/>
    <w:rsid w:val="0087231B"/>
    <w:rsid w:val="00872E21"/>
    <w:rsid w:val="0087352A"/>
    <w:rsid w:val="00874BE9"/>
    <w:rsid w:val="00880B12"/>
    <w:rsid w:val="00881B8F"/>
    <w:rsid w:val="00884BBD"/>
    <w:rsid w:val="008858D5"/>
    <w:rsid w:val="00886C98"/>
    <w:rsid w:val="00887446"/>
    <w:rsid w:val="00890EE3"/>
    <w:rsid w:val="00894F50"/>
    <w:rsid w:val="008960BB"/>
    <w:rsid w:val="008A06B1"/>
    <w:rsid w:val="008A1F60"/>
    <w:rsid w:val="008A3471"/>
    <w:rsid w:val="008A53FA"/>
    <w:rsid w:val="008A7BF3"/>
    <w:rsid w:val="008B4BAD"/>
    <w:rsid w:val="008B67FE"/>
    <w:rsid w:val="008B708D"/>
    <w:rsid w:val="008B79EC"/>
    <w:rsid w:val="008B7BCD"/>
    <w:rsid w:val="008B7F21"/>
    <w:rsid w:val="008C0577"/>
    <w:rsid w:val="008C06DE"/>
    <w:rsid w:val="008C22F5"/>
    <w:rsid w:val="008C56BE"/>
    <w:rsid w:val="008C5823"/>
    <w:rsid w:val="008C7DA2"/>
    <w:rsid w:val="008D4ECD"/>
    <w:rsid w:val="008D5135"/>
    <w:rsid w:val="008D5AD9"/>
    <w:rsid w:val="008D7073"/>
    <w:rsid w:val="008E2EB0"/>
    <w:rsid w:val="008E36F5"/>
    <w:rsid w:val="008E5A19"/>
    <w:rsid w:val="008E7B92"/>
    <w:rsid w:val="008F32A6"/>
    <w:rsid w:val="008F40B3"/>
    <w:rsid w:val="00904713"/>
    <w:rsid w:val="00904AF2"/>
    <w:rsid w:val="009060EA"/>
    <w:rsid w:val="00906778"/>
    <w:rsid w:val="00906DFB"/>
    <w:rsid w:val="0091241A"/>
    <w:rsid w:val="0091296F"/>
    <w:rsid w:val="009131C6"/>
    <w:rsid w:val="009139AB"/>
    <w:rsid w:val="00913AB7"/>
    <w:rsid w:val="00914A34"/>
    <w:rsid w:val="009150FA"/>
    <w:rsid w:val="009160E8"/>
    <w:rsid w:val="00920B8A"/>
    <w:rsid w:val="00921E32"/>
    <w:rsid w:val="00922E4F"/>
    <w:rsid w:val="00923866"/>
    <w:rsid w:val="00923D9D"/>
    <w:rsid w:val="009246CC"/>
    <w:rsid w:val="00930565"/>
    <w:rsid w:val="0093089B"/>
    <w:rsid w:val="0093116D"/>
    <w:rsid w:val="009323E5"/>
    <w:rsid w:val="00933911"/>
    <w:rsid w:val="00936463"/>
    <w:rsid w:val="00936AA5"/>
    <w:rsid w:val="00940304"/>
    <w:rsid w:val="0094079E"/>
    <w:rsid w:val="009411BB"/>
    <w:rsid w:val="00941FF2"/>
    <w:rsid w:val="00942C92"/>
    <w:rsid w:val="009448E1"/>
    <w:rsid w:val="009511D6"/>
    <w:rsid w:val="00951C3A"/>
    <w:rsid w:val="0095613C"/>
    <w:rsid w:val="0096073A"/>
    <w:rsid w:val="0096224F"/>
    <w:rsid w:val="0096279B"/>
    <w:rsid w:val="00963A20"/>
    <w:rsid w:val="00963A8D"/>
    <w:rsid w:val="00963C47"/>
    <w:rsid w:val="009640A1"/>
    <w:rsid w:val="00964FF8"/>
    <w:rsid w:val="00967616"/>
    <w:rsid w:val="0097147C"/>
    <w:rsid w:val="009738C4"/>
    <w:rsid w:val="009753DF"/>
    <w:rsid w:val="00975A60"/>
    <w:rsid w:val="0098038C"/>
    <w:rsid w:val="0098048D"/>
    <w:rsid w:val="0098100D"/>
    <w:rsid w:val="009815BF"/>
    <w:rsid w:val="0098190C"/>
    <w:rsid w:val="00981AC3"/>
    <w:rsid w:val="00981D1C"/>
    <w:rsid w:val="00984814"/>
    <w:rsid w:val="0098781E"/>
    <w:rsid w:val="00987DAE"/>
    <w:rsid w:val="00991EA1"/>
    <w:rsid w:val="009924E3"/>
    <w:rsid w:val="00994383"/>
    <w:rsid w:val="009943DB"/>
    <w:rsid w:val="009951DC"/>
    <w:rsid w:val="00996FCB"/>
    <w:rsid w:val="009A0FFE"/>
    <w:rsid w:val="009A32BD"/>
    <w:rsid w:val="009A36D0"/>
    <w:rsid w:val="009A43B9"/>
    <w:rsid w:val="009A495A"/>
    <w:rsid w:val="009A77D1"/>
    <w:rsid w:val="009B2E89"/>
    <w:rsid w:val="009B50A6"/>
    <w:rsid w:val="009B6B70"/>
    <w:rsid w:val="009B764D"/>
    <w:rsid w:val="009C1E9B"/>
    <w:rsid w:val="009C23E7"/>
    <w:rsid w:val="009C62AC"/>
    <w:rsid w:val="009C634A"/>
    <w:rsid w:val="009D1C44"/>
    <w:rsid w:val="009D26C2"/>
    <w:rsid w:val="009D2861"/>
    <w:rsid w:val="009D351F"/>
    <w:rsid w:val="009D3531"/>
    <w:rsid w:val="009D4E06"/>
    <w:rsid w:val="009D5216"/>
    <w:rsid w:val="009E02B6"/>
    <w:rsid w:val="009E0BD0"/>
    <w:rsid w:val="009E1D13"/>
    <w:rsid w:val="009E2439"/>
    <w:rsid w:val="009E4E06"/>
    <w:rsid w:val="009E5F5B"/>
    <w:rsid w:val="009E7BA3"/>
    <w:rsid w:val="009F0846"/>
    <w:rsid w:val="009F11C2"/>
    <w:rsid w:val="009F450D"/>
    <w:rsid w:val="009F533D"/>
    <w:rsid w:val="009F6E4F"/>
    <w:rsid w:val="009F70A7"/>
    <w:rsid w:val="00A00F02"/>
    <w:rsid w:val="00A01731"/>
    <w:rsid w:val="00A01E00"/>
    <w:rsid w:val="00A03C50"/>
    <w:rsid w:val="00A05381"/>
    <w:rsid w:val="00A056CB"/>
    <w:rsid w:val="00A056D5"/>
    <w:rsid w:val="00A063E6"/>
    <w:rsid w:val="00A1168D"/>
    <w:rsid w:val="00A11E7B"/>
    <w:rsid w:val="00A16452"/>
    <w:rsid w:val="00A1755A"/>
    <w:rsid w:val="00A21778"/>
    <w:rsid w:val="00A2615A"/>
    <w:rsid w:val="00A27096"/>
    <w:rsid w:val="00A27546"/>
    <w:rsid w:val="00A30601"/>
    <w:rsid w:val="00A30882"/>
    <w:rsid w:val="00A31657"/>
    <w:rsid w:val="00A3298C"/>
    <w:rsid w:val="00A341D0"/>
    <w:rsid w:val="00A34936"/>
    <w:rsid w:val="00A35E56"/>
    <w:rsid w:val="00A36B09"/>
    <w:rsid w:val="00A3729C"/>
    <w:rsid w:val="00A41E21"/>
    <w:rsid w:val="00A44CEA"/>
    <w:rsid w:val="00A4513F"/>
    <w:rsid w:val="00A51D23"/>
    <w:rsid w:val="00A52099"/>
    <w:rsid w:val="00A529AA"/>
    <w:rsid w:val="00A5394E"/>
    <w:rsid w:val="00A5453D"/>
    <w:rsid w:val="00A54558"/>
    <w:rsid w:val="00A56C0E"/>
    <w:rsid w:val="00A624A4"/>
    <w:rsid w:val="00A62838"/>
    <w:rsid w:val="00A64244"/>
    <w:rsid w:val="00A64706"/>
    <w:rsid w:val="00A656D0"/>
    <w:rsid w:val="00A672B5"/>
    <w:rsid w:val="00A73624"/>
    <w:rsid w:val="00A74654"/>
    <w:rsid w:val="00A7720A"/>
    <w:rsid w:val="00A8388E"/>
    <w:rsid w:val="00A84C65"/>
    <w:rsid w:val="00A8760A"/>
    <w:rsid w:val="00A87F59"/>
    <w:rsid w:val="00A903DF"/>
    <w:rsid w:val="00A903F3"/>
    <w:rsid w:val="00A9102F"/>
    <w:rsid w:val="00A91CC9"/>
    <w:rsid w:val="00A92EFE"/>
    <w:rsid w:val="00A93620"/>
    <w:rsid w:val="00A94394"/>
    <w:rsid w:val="00A952BB"/>
    <w:rsid w:val="00A96309"/>
    <w:rsid w:val="00A96FC5"/>
    <w:rsid w:val="00AA2D21"/>
    <w:rsid w:val="00AA5244"/>
    <w:rsid w:val="00AA7244"/>
    <w:rsid w:val="00AB06DF"/>
    <w:rsid w:val="00AB0D5A"/>
    <w:rsid w:val="00AB4702"/>
    <w:rsid w:val="00AD572F"/>
    <w:rsid w:val="00AD603F"/>
    <w:rsid w:val="00AD746E"/>
    <w:rsid w:val="00AE0EDB"/>
    <w:rsid w:val="00AE272B"/>
    <w:rsid w:val="00AE345D"/>
    <w:rsid w:val="00AE4351"/>
    <w:rsid w:val="00AE4B8D"/>
    <w:rsid w:val="00AE4BD0"/>
    <w:rsid w:val="00AE5B67"/>
    <w:rsid w:val="00AF0503"/>
    <w:rsid w:val="00AF139E"/>
    <w:rsid w:val="00AF200B"/>
    <w:rsid w:val="00AF3720"/>
    <w:rsid w:val="00AF4A34"/>
    <w:rsid w:val="00AF4B4E"/>
    <w:rsid w:val="00AF78B6"/>
    <w:rsid w:val="00B01C40"/>
    <w:rsid w:val="00B026D3"/>
    <w:rsid w:val="00B03D2D"/>
    <w:rsid w:val="00B04116"/>
    <w:rsid w:val="00B041CB"/>
    <w:rsid w:val="00B05086"/>
    <w:rsid w:val="00B115F7"/>
    <w:rsid w:val="00B12368"/>
    <w:rsid w:val="00B145B6"/>
    <w:rsid w:val="00B15368"/>
    <w:rsid w:val="00B15590"/>
    <w:rsid w:val="00B15769"/>
    <w:rsid w:val="00B159E4"/>
    <w:rsid w:val="00B15C69"/>
    <w:rsid w:val="00B16386"/>
    <w:rsid w:val="00B16B29"/>
    <w:rsid w:val="00B17208"/>
    <w:rsid w:val="00B1796D"/>
    <w:rsid w:val="00B17B5A"/>
    <w:rsid w:val="00B20EA5"/>
    <w:rsid w:val="00B24F68"/>
    <w:rsid w:val="00B25F85"/>
    <w:rsid w:val="00B26044"/>
    <w:rsid w:val="00B273E7"/>
    <w:rsid w:val="00B27993"/>
    <w:rsid w:val="00B3204E"/>
    <w:rsid w:val="00B32F49"/>
    <w:rsid w:val="00B33427"/>
    <w:rsid w:val="00B34941"/>
    <w:rsid w:val="00B35D52"/>
    <w:rsid w:val="00B4249A"/>
    <w:rsid w:val="00B43482"/>
    <w:rsid w:val="00B45F88"/>
    <w:rsid w:val="00B505B4"/>
    <w:rsid w:val="00B5092E"/>
    <w:rsid w:val="00B50D21"/>
    <w:rsid w:val="00B51AD2"/>
    <w:rsid w:val="00B52CE2"/>
    <w:rsid w:val="00B6247C"/>
    <w:rsid w:val="00B63A01"/>
    <w:rsid w:val="00B6523F"/>
    <w:rsid w:val="00B71783"/>
    <w:rsid w:val="00B7373C"/>
    <w:rsid w:val="00B748BF"/>
    <w:rsid w:val="00B75544"/>
    <w:rsid w:val="00B764F8"/>
    <w:rsid w:val="00B76A0A"/>
    <w:rsid w:val="00B76E77"/>
    <w:rsid w:val="00B82E73"/>
    <w:rsid w:val="00B838B4"/>
    <w:rsid w:val="00B85650"/>
    <w:rsid w:val="00B85A98"/>
    <w:rsid w:val="00B92A1C"/>
    <w:rsid w:val="00B937FF"/>
    <w:rsid w:val="00B953DB"/>
    <w:rsid w:val="00B95B66"/>
    <w:rsid w:val="00B96245"/>
    <w:rsid w:val="00BA3A62"/>
    <w:rsid w:val="00BA3D28"/>
    <w:rsid w:val="00BA5443"/>
    <w:rsid w:val="00BA6C35"/>
    <w:rsid w:val="00BB572F"/>
    <w:rsid w:val="00BC5DBF"/>
    <w:rsid w:val="00BC70AF"/>
    <w:rsid w:val="00BC7AD6"/>
    <w:rsid w:val="00BD0A5E"/>
    <w:rsid w:val="00BD1244"/>
    <w:rsid w:val="00BD1B48"/>
    <w:rsid w:val="00BD210A"/>
    <w:rsid w:val="00BD2266"/>
    <w:rsid w:val="00BD45C7"/>
    <w:rsid w:val="00BE0710"/>
    <w:rsid w:val="00BE0E4E"/>
    <w:rsid w:val="00BE1128"/>
    <w:rsid w:val="00BE1227"/>
    <w:rsid w:val="00BE1247"/>
    <w:rsid w:val="00BE2335"/>
    <w:rsid w:val="00BE2EA5"/>
    <w:rsid w:val="00BE53B3"/>
    <w:rsid w:val="00BF1933"/>
    <w:rsid w:val="00BF2704"/>
    <w:rsid w:val="00BF3948"/>
    <w:rsid w:val="00BF4414"/>
    <w:rsid w:val="00BF57E5"/>
    <w:rsid w:val="00BF6C3A"/>
    <w:rsid w:val="00BF7DAB"/>
    <w:rsid w:val="00C00C0E"/>
    <w:rsid w:val="00C01C56"/>
    <w:rsid w:val="00C0772B"/>
    <w:rsid w:val="00C13DC0"/>
    <w:rsid w:val="00C14105"/>
    <w:rsid w:val="00C14425"/>
    <w:rsid w:val="00C16A84"/>
    <w:rsid w:val="00C175D9"/>
    <w:rsid w:val="00C212E6"/>
    <w:rsid w:val="00C23D9A"/>
    <w:rsid w:val="00C24E99"/>
    <w:rsid w:val="00C27348"/>
    <w:rsid w:val="00C3254C"/>
    <w:rsid w:val="00C32559"/>
    <w:rsid w:val="00C33725"/>
    <w:rsid w:val="00C34A27"/>
    <w:rsid w:val="00C34B35"/>
    <w:rsid w:val="00C34C6A"/>
    <w:rsid w:val="00C42871"/>
    <w:rsid w:val="00C4477C"/>
    <w:rsid w:val="00C47723"/>
    <w:rsid w:val="00C47D53"/>
    <w:rsid w:val="00C528A6"/>
    <w:rsid w:val="00C530F6"/>
    <w:rsid w:val="00C5323E"/>
    <w:rsid w:val="00C54175"/>
    <w:rsid w:val="00C541BA"/>
    <w:rsid w:val="00C541EA"/>
    <w:rsid w:val="00C55934"/>
    <w:rsid w:val="00C57E55"/>
    <w:rsid w:val="00C60D64"/>
    <w:rsid w:val="00C627B2"/>
    <w:rsid w:val="00C63001"/>
    <w:rsid w:val="00C6342D"/>
    <w:rsid w:val="00C64934"/>
    <w:rsid w:val="00C712B3"/>
    <w:rsid w:val="00C743B4"/>
    <w:rsid w:val="00C74A24"/>
    <w:rsid w:val="00C76825"/>
    <w:rsid w:val="00C76F72"/>
    <w:rsid w:val="00C80C22"/>
    <w:rsid w:val="00C80DC0"/>
    <w:rsid w:val="00C81005"/>
    <w:rsid w:val="00C827E5"/>
    <w:rsid w:val="00C82D6D"/>
    <w:rsid w:val="00C845F1"/>
    <w:rsid w:val="00C92946"/>
    <w:rsid w:val="00C9305A"/>
    <w:rsid w:val="00C95884"/>
    <w:rsid w:val="00C96190"/>
    <w:rsid w:val="00C96E5B"/>
    <w:rsid w:val="00CA1662"/>
    <w:rsid w:val="00CA1B14"/>
    <w:rsid w:val="00CA1D57"/>
    <w:rsid w:val="00CA1FD8"/>
    <w:rsid w:val="00CA2C6B"/>
    <w:rsid w:val="00CA3179"/>
    <w:rsid w:val="00CA3855"/>
    <w:rsid w:val="00CA40E9"/>
    <w:rsid w:val="00CA5120"/>
    <w:rsid w:val="00CA57AC"/>
    <w:rsid w:val="00CA6FC6"/>
    <w:rsid w:val="00CB289A"/>
    <w:rsid w:val="00CB352A"/>
    <w:rsid w:val="00CB3CDE"/>
    <w:rsid w:val="00CB41B4"/>
    <w:rsid w:val="00CB7BD7"/>
    <w:rsid w:val="00CB7DD2"/>
    <w:rsid w:val="00CC06CF"/>
    <w:rsid w:val="00CC1EB6"/>
    <w:rsid w:val="00CC3551"/>
    <w:rsid w:val="00CC44B8"/>
    <w:rsid w:val="00CC61DB"/>
    <w:rsid w:val="00CC61F1"/>
    <w:rsid w:val="00CD0B42"/>
    <w:rsid w:val="00CD307A"/>
    <w:rsid w:val="00CD35C5"/>
    <w:rsid w:val="00CD6C22"/>
    <w:rsid w:val="00CE0174"/>
    <w:rsid w:val="00CE05C4"/>
    <w:rsid w:val="00CE1127"/>
    <w:rsid w:val="00CE2354"/>
    <w:rsid w:val="00CE2455"/>
    <w:rsid w:val="00CE3770"/>
    <w:rsid w:val="00CE3809"/>
    <w:rsid w:val="00CE4C58"/>
    <w:rsid w:val="00CE4DF8"/>
    <w:rsid w:val="00CE4ED9"/>
    <w:rsid w:val="00CE5BA7"/>
    <w:rsid w:val="00CF01AA"/>
    <w:rsid w:val="00CF081F"/>
    <w:rsid w:val="00CF16B5"/>
    <w:rsid w:val="00CF1877"/>
    <w:rsid w:val="00CF4BF8"/>
    <w:rsid w:val="00CF5F00"/>
    <w:rsid w:val="00D00D4A"/>
    <w:rsid w:val="00D0105C"/>
    <w:rsid w:val="00D04217"/>
    <w:rsid w:val="00D042A1"/>
    <w:rsid w:val="00D10724"/>
    <w:rsid w:val="00D11DD7"/>
    <w:rsid w:val="00D122F3"/>
    <w:rsid w:val="00D15003"/>
    <w:rsid w:val="00D1587D"/>
    <w:rsid w:val="00D17F57"/>
    <w:rsid w:val="00D2020F"/>
    <w:rsid w:val="00D22368"/>
    <w:rsid w:val="00D23127"/>
    <w:rsid w:val="00D23523"/>
    <w:rsid w:val="00D23762"/>
    <w:rsid w:val="00D23B45"/>
    <w:rsid w:val="00D24884"/>
    <w:rsid w:val="00D2584E"/>
    <w:rsid w:val="00D2634A"/>
    <w:rsid w:val="00D26FAE"/>
    <w:rsid w:val="00D30A07"/>
    <w:rsid w:val="00D31131"/>
    <w:rsid w:val="00D31F79"/>
    <w:rsid w:val="00D3474F"/>
    <w:rsid w:val="00D353A3"/>
    <w:rsid w:val="00D36DAE"/>
    <w:rsid w:val="00D37EDD"/>
    <w:rsid w:val="00D401FC"/>
    <w:rsid w:val="00D4104A"/>
    <w:rsid w:val="00D41453"/>
    <w:rsid w:val="00D41FEB"/>
    <w:rsid w:val="00D446F5"/>
    <w:rsid w:val="00D4576C"/>
    <w:rsid w:val="00D46557"/>
    <w:rsid w:val="00D46E32"/>
    <w:rsid w:val="00D50657"/>
    <w:rsid w:val="00D526D8"/>
    <w:rsid w:val="00D55CCB"/>
    <w:rsid w:val="00D55E30"/>
    <w:rsid w:val="00D562C9"/>
    <w:rsid w:val="00D56C19"/>
    <w:rsid w:val="00D60B0B"/>
    <w:rsid w:val="00D6535D"/>
    <w:rsid w:val="00D67926"/>
    <w:rsid w:val="00D679F8"/>
    <w:rsid w:val="00D72AE5"/>
    <w:rsid w:val="00D73F9B"/>
    <w:rsid w:val="00D767DB"/>
    <w:rsid w:val="00D80740"/>
    <w:rsid w:val="00D82CF3"/>
    <w:rsid w:val="00D847DF"/>
    <w:rsid w:val="00D84BCE"/>
    <w:rsid w:val="00D874CD"/>
    <w:rsid w:val="00D874D5"/>
    <w:rsid w:val="00D87CD6"/>
    <w:rsid w:val="00D87FF2"/>
    <w:rsid w:val="00D90641"/>
    <w:rsid w:val="00D91D61"/>
    <w:rsid w:val="00D92C44"/>
    <w:rsid w:val="00D92DB6"/>
    <w:rsid w:val="00D92EC7"/>
    <w:rsid w:val="00D930A6"/>
    <w:rsid w:val="00D9360D"/>
    <w:rsid w:val="00D93E2D"/>
    <w:rsid w:val="00D964BC"/>
    <w:rsid w:val="00D96EC6"/>
    <w:rsid w:val="00DA1A57"/>
    <w:rsid w:val="00DA27E7"/>
    <w:rsid w:val="00DA3E11"/>
    <w:rsid w:val="00DA6024"/>
    <w:rsid w:val="00DA7EB6"/>
    <w:rsid w:val="00DA7F08"/>
    <w:rsid w:val="00DB0FA7"/>
    <w:rsid w:val="00DB15AD"/>
    <w:rsid w:val="00DB15DF"/>
    <w:rsid w:val="00DB4D04"/>
    <w:rsid w:val="00DB667B"/>
    <w:rsid w:val="00DB724F"/>
    <w:rsid w:val="00DB74DD"/>
    <w:rsid w:val="00DC2E99"/>
    <w:rsid w:val="00DC3206"/>
    <w:rsid w:val="00DC3D50"/>
    <w:rsid w:val="00DD059E"/>
    <w:rsid w:val="00DD090C"/>
    <w:rsid w:val="00DD169C"/>
    <w:rsid w:val="00DD438A"/>
    <w:rsid w:val="00DD55D5"/>
    <w:rsid w:val="00DD7C7F"/>
    <w:rsid w:val="00DE12CB"/>
    <w:rsid w:val="00DE18B2"/>
    <w:rsid w:val="00DE46F3"/>
    <w:rsid w:val="00DE60DF"/>
    <w:rsid w:val="00DE6BF0"/>
    <w:rsid w:val="00DE7946"/>
    <w:rsid w:val="00DE7D21"/>
    <w:rsid w:val="00DF27F4"/>
    <w:rsid w:val="00DF2DBC"/>
    <w:rsid w:val="00DF4AE0"/>
    <w:rsid w:val="00DF5AB5"/>
    <w:rsid w:val="00DF60E2"/>
    <w:rsid w:val="00DF6C99"/>
    <w:rsid w:val="00E01581"/>
    <w:rsid w:val="00E01734"/>
    <w:rsid w:val="00E01E12"/>
    <w:rsid w:val="00E05927"/>
    <w:rsid w:val="00E0675D"/>
    <w:rsid w:val="00E11512"/>
    <w:rsid w:val="00E12124"/>
    <w:rsid w:val="00E17103"/>
    <w:rsid w:val="00E175A6"/>
    <w:rsid w:val="00E25A66"/>
    <w:rsid w:val="00E27733"/>
    <w:rsid w:val="00E304CD"/>
    <w:rsid w:val="00E37A86"/>
    <w:rsid w:val="00E40737"/>
    <w:rsid w:val="00E40747"/>
    <w:rsid w:val="00E40FA5"/>
    <w:rsid w:val="00E427F3"/>
    <w:rsid w:val="00E42C26"/>
    <w:rsid w:val="00E43A1E"/>
    <w:rsid w:val="00E43ED4"/>
    <w:rsid w:val="00E46816"/>
    <w:rsid w:val="00E46B38"/>
    <w:rsid w:val="00E46D2B"/>
    <w:rsid w:val="00E47BDF"/>
    <w:rsid w:val="00E5294A"/>
    <w:rsid w:val="00E53CD0"/>
    <w:rsid w:val="00E5695B"/>
    <w:rsid w:val="00E6307D"/>
    <w:rsid w:val="00E63DD2"/>
    <w:rsid w:val="00E66C39"/>
    <w:rsid w:val="00E74152"/>
    <w:rsid w:val="00E746B2"/>
    <w:rsid w:val="00E74FFC"/>
    <w:rsid w:val="00E759E5"/>
    <w:rsid w:val="00E80034"/>
    <w:rsid w:val="00E81233"/>
    <w:rsid w:val="00E835F6"/>
    <w:rsid w:val="00E83917"/>
    <w:rsid w:val="00E8398B"/>
    <w:rsid w:val="00E841D1"/>
    <w:rsid w:val="00E85BED"/>
    <w:rsid w:val="00E91EC6"/>
    <w:rsid w:val="00E92A7F"/>
    <w:rsid w:val="00E93671"/>
    <w:rsid w:val="00E97512"/>
    <w:rsid w:val="00EA0BB7"/>
    <w:rsid w:val="00EA185F"/>
    <w:rsid w:val="00EA230F"/>
    <w:rsid w:val="00EA24CB"/>
    <w:rsid w:val="00EA4A46"/>
    <w:rsid w:val="00EA5115"/>
    <w:rsid w:val="00EA74A7"/>
    <w:rsid w:val="00EA7D15"/>
    <w:rsid w:val="00EB223E"/>
    <w:rsid w:val="00EB2353"/>
    <w:rsid w:val="00EB26DD"/>
    <w:rsid w:val="00EB2EF7"/>
    <w:rsid w:val="00EB579B"/>
    <w:rsid w:val="00EB77F5"/>
    <w:rsid w:val="00EB7D38"/>
    <w:rsid w:val="00EC1896"/>
    <w:rsid w:val="00EC26A5"/>
    <w:rsid w:val="00EC27C8"/>
    <w:rsid w:val="00EC2F61"/>
    <w:rsid w:val="00EC3651"/>
    <w:rsid w:val="00EC3971"/>
    <w:rsid w:val="00EC4A43"/>
    <w:rsid w:val="00EC5A7A"/>
    <w:rsid w:val="00EC6208"/>
    <w:rsid w:val="00EC6647"/>
    <w:rsid w:val="00ED0F95"/>
    <w:rsid w:val="00ED1495"/>
    <w:rsid w:val="00ED258D"/>
    <w:rsid w:val="00ED2E31"/>
    <w:rsid w:val="00ED4E9B"/>
    <w:rsid w:val="00ED5388"/>
    <w:rsid w:val="00ED5475"/>
    <w:rsid w:val="00ED6B22"/>
    <w:rsid w:val="00ED7CCC"/>
    <w:rsid w:val="00ED7FD7"/>
    <w:rsid w:val="00EE0281"/>
    <w:rsid w:val="00EE0398"/>
    <w:rsid w:val="00EE05ED"/>
    <w:rsid w:val="00EE0911"/>
    <w:rsid w:val="00EE0FC0"/>
    <w:rsid w:val="00EE1512"/>
    <w:rsid w:val="00EE38AA"/>
    <w:rsid w:val="00EE3E7C"/>
    <w:rsid w:val="00EE3F32"/>
    <w:rsid w:val="00EE4DED"/>
    <w:rsid w:val="00EE5210"/>
    <w:rsid w:val="00EE68FD"/>
    <w:rsid w:val="00EF1B02"/>
    <w:rsid w:val="00EF1ED7"/>
    <w:rsid w:val="00EF3E62"/>
    <w:rsid w:val="00EF4182"/>
    <w:rsid w:val="00EF4B72"/>
    <w:rsid w:val="00EF673F"/>
    <w:rsid w:val="00EF7350"/>
    <w:rsid w:val="00F00502"/>
    <w:rsid w:val="00F01F46"/>
    <w:rsid w:val="00F02239"/>
    <w:rsid w:val="00F02BD9"/>
    <w:rsid w:val="00F035EA"/>
    <w:rsid w:val="00F06161"/>
    <w:rsid w:val="00F07E4D"/>
    <w:rsid w:val="00F12447"/>
    <w:rsid w:val="00F12C3D"/>
    <w:rsid w:val="00F12C8D"/>
    <w:rsid w:val="00F13153"/>
    <w:rsid w:val="00F14EEA"/>
    <w:rsid w:val="00F1605C"/>
    <w:rsid w:val="00F16C42"/>
    <w:rsid w:val="00F17A75"/>
    <w:rsid w:val="00F20DD1"/>
    <w:rsid w:val="00F246BE"/>
    <w:rsid w:val="00F251C0"/>
    <w:rsid w:val="00F27AF5"/>
    <w:rsid w:val="00F27B5A"/>
    <w:rsid w:val="00F31DFA"/>
    <w:rsid w:val="00F33F4F"/>
    <w:rsid w:val="00F37BC8"/>
    <w:rsid w:val="00F40182"/>
    <w:rsid w:val="00F4246F"/>
    <w:rsid w:val="00F425A4"/>
    <w:rsid w:val="00F42A73"/>
    <w:rsid w:val="00F440C7"/>
    <w:rsid w:val="00F44E44"/>
    <w:rsid w:val="00F46B73"/>
    <w:rsid w:val="00F471C6"/>
    <w:rsid w:val="00F51AEF"/>
    <w:rsid w:val="00F525FE"/>
    <w:rsid w:val="00F53B05"/>
    <w:rsid w:val="00F53FCF"/>
    <w:rsid w:val="00F54147"/>
    <w:rsid w:val="00F54EB7"/>
    <w:rsid w:val="00F55094"/>
    <w:rsid w:val="00F60916"/>
    <w:rsid w:val="00F61309"/>
    <w:rsid w:val="00F617B6"/>
    <w:rsid w:val="00F63765"/>
    <w:rsid w:val="00F63F3B"/>
    <w:rsid w:val="00F64439"/>
    <w:rsid w:val="00F64531"/>
    <w:rsid w:val="00F65E09"/>
    <w:rsid w:val="00F663E9"/>
    <w:rsid w:val="00F6665D"/>
    <w:rsid w:val="00F7036F"/>
    <w:rsid w:val="00F71878"/>
    <w:rsid w:val="00F71A34"/>
    <w:rsid w:val="00F71E2D"/>
    <w:rsid w:val="00F7289C"/>
    <w:rsid w:val="00F73672"/>
    <w:rsid w:val="00F758C6"/>
    <w:rsid w:val="00F82BA2"/>
    <w:rsid w:val="00F86119"/>
    <w:rsid w:val="00F863C6"/>
    <w:rsid w:val="00F86BDC"/>
    <w:rsid w:val="00F871DF"/>
    <w:rsid w:val="00F87366"/>
    <w:rsid w:val="00F910CD"/>
    <w:rsid w:val="00F9208B"/>
    <w:rsid w:val="00F958A1"/>
    <w:rsid w:val="00F966A2"/>
    <w:rsid w:val="00F9719F"/>
    <w:rsid w:val="00FA075E"/>
    <w:rsid w:val="00FA13F9"/>
    <w:rsid w:val="00FA1CEF"/>
    <w:rsid w:val="00FA223A"/>
    <w:rsid w:val="00FA796D"/>
    <w:rsid w:val="00FB346E"/>
    <w:rsid w:val="00FB4415"/>
    <w:rsid w:val="00FB49B3"/>
    <w:rsid w:val="00FB5B59"/>
    <w:rsid w:val="00FB6CEE"/>
    <w:rsid w:val="00FB726B"/>
    <w:rsid w:val="00FB74E4"/>
    <w:rsid w:val="00FB7A41"/>
    <w:rsid w:val="00FC1C68"/>
    <w:rsid w:val="00FC2FE1"/>
    <w:rsid w:val="00FC48BB"/>
    <w:rsid w:val="00FC4991"/>
    <w:rsid w:val="00FC4A67"/>
    <w:rsid w:val="00FC61E8"/>
    <w:rsid w:val="00FC7526"/>
    <w:rsid w:val="00FC7858"/>
    <w:rsid w:val="00FD0FCE"/>
    <w:rsid w:val="00FD10ED"/>
    <w:rsid w:val="00FD1D07"/>
    <w:rsid w:val="00FD329A"/>
    <w:rsid w:val="00FD73B6"/>
    <w:rsid w:val="00FE2C0D"/>
    <w:rsid w:val="00FE55EE"/>
    <w:rsid w:val="00FE5EEB"/>
    <w:rsid w:val="00FE79B6"/>
    <w:rsid w:val="00FF2AF5"/>
    <w:rsid w:val="00FF56D3"/>
    <w:rsid w:val="00FF6582"/>
    <w:rsid w:val="00FF749F"/>
    <w:rsid w:val="00FF76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B8F"/>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E32"/>
    <w:pPr>
      <w:ind w:left="720"/>
      <w:contextualSpacing/>
    </w:pPr>
  </w:style>
  <w:style w:type="character" w:styleId="Emphasis">
    <w:name w:val="Emphasis"/>
    <w:basedOn w:val="DefaultParagraphFont"/>
    <w:uiPriority w:val="20"/>
    <w:qFormat/>
    <w:rsid w:val="00836A01"/>
    <w:rPr>
      <w:i/>
      <w:iCs/>
    </w:rPr>
  </w:style>
  <w:style w:type="character" w:customStyle="1" w:styleId="apple-tab-span">
    <w:name w:val="apple-tab-span"/>
    <w:basedOn w:val="DefaultParagraphFont"/>
    <w:rsid w:val="0075434F"/>
  </w:style>
  <w:style w:type="character" w:styleId="Hyperlink">
    <w:name w:val="Hyperlink"/>
    <w:basedOn w:val="DefaultParagraphFont"/>
    <w:uiPriority w:val="99"/>
    <w:unhideWhenUsed/>
    <w:rsid w:val="00234347"/>
    <w:rPr>
      <w:color w:val="0000FF" w:themeColor="hyperlink"/>
      <w:u w:val="single"/>
    </w:rPr>
  </w:style>
  <w:style w:type="paragraph" w:styleId="PlainText">
    <w:name w:val="Plain Text"/>
    <w:basedOn w:val="Normal"/>
    <w:link w:val="PlainTextChar"/>
    <w:uiPriority w:val="99"/>
    <w:unhideWhenUsed/>
    <w:rsid w:val="00EE68FD"/>
    <w:rPr>
      <w:rFonts w:eastAsiaTheme="minorHAnsi"/>
      <w:sz w:val="28"/>
      <w:szCs w:val="28"/>
    </w:rPr>
  </w:style>
  <w:style w:type="character" w:customStyle="1" w:styleId="PlainTextChar">
    <w:name w:val="Plain Text Char"/>
    <w:basedOn w:val="DefaultParagraphFont"/>
    <w:link w:val="PlainText"/>
    <w:uiPriority w:val="99"/>
    <w:rsid w:val="00EE68FD"/>
    <w:rPr>
      <w:rFonts w:eastAsiaTheme="minorHAnsi"/>
      <w:sz w:val="28"/>
      <w:szCs w:val="28"/>
      <w:lang w:eastAsia="en-US"/>
    </w:rPr>
  </w:style>
  <w:style w:type="paragraph" w:styleId="BalloonText">
    <w:name w:val="Balloon Text"/>
    <w:basedOn w:val="Normal"/>
    <w:link w:val="BalloonTextChar"/>
    <w:uiPriority w:val="99"/>
    <w:semiHidden/>
    <w:unhideWhenUsed/>
    <w:rsid w:val="003B1CB8"/>
    <w:rPr>
      <w:rFonts w:ascii="Tahoma" w:hAnsi="Tahoma" w:cs="Tahoma"/>
      <w:sz w:val="16"/>
      <w:szCs w:val="16"/>
    </w:rPr>
  </w:style>
  <w:style w:type="character" w:customStyle="1" w:styleId="BalloonTextChar">
    <w:name w:val="Balloon Text Char"/>
    <w:basedOn w:val="DefaultParagraphFont"/>
    <w:link w:val="BalloonText"/>
    <w:uiPriority w:val="99"/>
    <w:semiHidden/>
    <w:rsid w:val="003B1CB8"/>
    <w:rPr>
      <w:rFonts w:ascii="Tahoma" w:hAnsi="Tahoma" w:cs="Tahoma"/>
      <w:sz w:val="16"/>
      <w:szCs w:val="16"/>
      <w:lang w:eastAsia="en-US"/>
    </w:rPr>
  </w:style>
  <w:style w:type="character" w:styleId="FollowedHyperlink">
    <w:name w:val="FollowedHyperlink"/>
    <w:basedOn w:val="DefaultParagraphFont"/>
    <w:uiPriority w:val="99"/>
    <w:semiHidden/>
    <w:unhideWhenUsed/>
    <w:rsid w:val="00722AA7"/>
    <w:rPr>
      <w:color w:val="800080" w:themeColor="followedHyperlink"/>
      <w:u w:val="single"/>
    </w:rPr>
  </w:style>
  <w:style w:type="paragraph" w:styleId="Revision">
    <w:name w:val="Revision"/>
    <w:hidden/>
    <w:uiPriority w:val="99"/>
    <w:semiHidden/>
    <w:rsid w:val="00BD0A5E"/>
    <w:rPr>
      <w:lang w:eastAsia="en-US"/>
    </w:rPr>
  </w:style>
  <w:style w:type="character" w:styleId="CommentReference">
    <w:name w:val="annotation reference"/>
    <w:basedOn w:val="DefaultParagraphFont"/>
    <w:uiPriority w:val="99"/>
    <w:semiHidden/>
    <w:unhideWhenUsed/>
    <w:rsid w:val="00137EEA"/>
    <w:rPr>
      <w:sz w:val="16"/>
      <w:szCs w:val="16"/>
    </w:rPr>
  </w:style>
  <w:style w:type="paragraph" w:styleId="CommentText">
    <w:name w:val="annotation text"/>
    <w:basedOn w:val="Normal"/>
    <w:link w:val="CommentTextChar"/>
    <w:uiPriority w:val="99"/>
    <w:semiHidden/>
    <w:unhideWhenUsed/>
    <w:rsid w:val="00137EEA"/>
    <w:rPr>
      <w:sz w:val="20"/>
      <w:szCs w:val="20"/>
    </w:rPr>
  </w:style>
  <w:style w:type="character" w:customStyle="1" w:styleId="CommentTextChar">
    <w:name w:val="Comment Text Char"/>
    <w:basedOn w:val="DefaultParagraphFont"/>
    <w:link w:val="CommentText"/>
    <w:uiPriority w:val="99"/>
    <w:semiHidden/>
    <w:rsid w:val="00137EEA"/>
    <w:rPr>
      <w:sz w:val="20"/>
      <w:szCs w:val="20"/>
      <w:lang w:eastAsia="en-US"/>
    </w:rPr>
  </w:style>
  <w:style w:type="paragraph" w:styleId="CommentSubject">
    <w:name w:val="annotation subject"/>
    <w:basedOn w:val="CommentText"/>
    <w:next w:val="CommentText"/>
    <w:link w:val="CommentSubjectChar"/>
    <w:uiPriority w:val="99"/>
    <w:semiHidden/>
    <w:unhideWhenUsed/>
    <w:rsid w:val="00137EEA"/>
    <w:rPr>
      <w:b/>
      <w:bCs/>
    </w:rPr>
  </w:style>
  <w:style w:type="character" w:customStyle="1" w:styleId="CommentSubjectChar">
    <w:name w:val="Comment Subject Char"/>
    <w:basedOn w:val="CommentTextChar"/>
    <w:link w:val="CommentSubject"/>
    <w:uiPriority w:val="99"/>
    <w:semiHidden/>
    <w:rsid w:val="00137EEA"/>
    <w:rPr>
      <w:b/>
      <w:bCs/>
      <w:sz w:val="20"/>
      <w:szCs w:val="20"/>
      <w:lang w:eastAsia="en-US"/>
    </w:rPr>
  </w:style>
  <w:style w:type="table" w:styleId="TableGrid">
    <w:name w:val="Table Grid"/>
    <w:basedOn w:val="TableNormal"/>
    <w:uiPriority w:val="59"/>
    <w:rsid w:val="000C50B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005EE"/>
    <w:pPr>
      <w:tabs>
        <w:tab w:val="center" w:pos="4680"/>
        <w:tab w:val="right" w:pos="9360"/>
      </w:tabs>
    </w:pPr>
  </w:style>
  <w:style w:type="character" w:customStyle="1" w:styleId="HeaderChar">
    <w:name w:val="Header Char"/>
    <w:basedOn w:val="DefaultParagraphFont"/>
    <w:link w:val="Header"/>
    <w:uiPriority w:val="99"/>
    <w:semiHidden/>
    <w:rsid w:val="003005EE"/>
    <w:rPr>
      <w:lang w:eastAsia="en-US"/>
    </w:rPr>
  </w:style>
  <w:style w:type="paragraph" w:styleId="Footer">
    <w:name w:val="footer"/>
    <w:basedOn w:val="Normal"/>
    <w:link w:val="FooterChar"/>
    <w:uiPriority w:val="99"/>
    <w:unhideWhenUsed/>
    <w:rsid w:val="003005EE"/>
    <w:pPr>
      <w:tabs>
        <w:tab w:val="center" w:pos="4680"/>
        <w:tab w:val="right" w:pos="9360"/>
      </w:tabs>
    </w:pPr>
  </w:style>
  <w:style w:type="character" w:customStyle="1" w:styleId="FooterChar">
    <w:name w:val="Footer Char"/>
    <w:basedOn w:val="DefaultParagraphFont"/>
    <w:link w:val="Footer"/>
    <w:uiPriority w:val="99"/>
    <w:rsid w:val="003005E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E32"/>
    <w:pPr>
      <w:ind w:left="720"/>
      <w:contextualSpacing/>
    </w:pPr>
  </w:style>
  <w:style w:type="character" w:styleId="Emphasis">
    <w:name w:val="Emphasis"/>
    <w:basedOn w:val="DefaultParagraphFont"/>
    <w:uiPriority w:val="20"/>
    <w:qFormat/>
    <w:rsid w:val="00836A01"/>
    <w:rPr>
      <w:i/>
      <w:iCs/>
    </w:rPr>
  </w:style>
  <w:style w:type="character" w:customStyle="1" w:styleId="apple-tab-span">
    <w:name w:val="apple-tab-span"/>
    <w:basedOn w:val="DefaultParagraphFont"/>
    <w:rsid w:val="0075434F"/>
  </w:style>
  <w:style w:type="character" w:styleId="Hyperlink">
    <w:name w:val="Hyperlink"/>
    <w:basedOn w:val="DefaultParagraphFont"/>
    <w:uiPriority w:val="99"/>
    <w:unhideWhenUsed/>
    <w:rsid w:val="00234347"/>
    <w:rPr>
      <w:color w:val="0000FF" w:themeColor="hyperlink"/>
      <w:u w:val="single"/>
    </w:rPr>
  </w:style>
  <w:style w:type="paragraph" w:styleId="PlainText">
    <w:name w:val="Plain Text"/>
    <w:basedOn w:val="Normal"/>
    <w:link w:val="PlainTextChar"/>
    <w:uiPriority w:val="99"/>
    <w:unhideWhenUsed/>
    <w:rsid w:val="00EE68FD"/>
    <w:rPr>
      <w:rFonts w:eastAsiaTheme="minorHAnsi"/>
      <w:sz w:val="28"/>
      <w:szCs w:val="28"/>
    </w:rPr>
  </w:style>
  <w:style w:type="character" w:customStyle="1" w:styleId="PlainTextChar">
    <w:name w:val="Plain Text Char"/>
    <w:basedOn w:val="DefaultParagraphFont"/>
    <w:link w:val="PlainText"/>
    <w:uiPriority w:val="99"/>
    <w:rsid w:val="00EE68FD"/>
    <w:rPr>
      <w:rFonts w:eastAsiaTheme="minorHAnsi"/>
      <w:sz w:val="28"/>
      <w:szCs w:val="28"/>
      <w:lang w:eastAsia="en-US"/>
    </w:rPr>
  </w:style>
  <w:style w:type="paragraph" w:styleId="BalloonText">
    <w:name w:val="Balloon Text"/>
    <w:basedOn w:val="Normal"/>
    <w:link w:val="BalloonTextChar"/>
    <w:uiPriority w:val="99"/>
    <w:semiHidden/>
    <w:unhideWhenUsed/>
    <w:rsid w:val="003B1CB8"/>
    <w:rPr>
      <w:rFonts w:ascii="Tahoma" w:hAnsi="Tahoma" w:cs="Tahoma"/>
      <w:sz w:val="16"/>
      <w:szCs w:val="16"/>
    </w:rPr>
  </w:style>
  <w:style w:type="character" w:customStyle="1" w:styleId="BalloonTextChar">
    <w:name w:val="Balloon Text Char"/>
    <w:basedOn w:val="DefaultParagraphFont"/>
    <w:link w:val="BalloonText"/>
    <w:uiPriority w:val="99"/>
    <w:semiHidden/>
    <w:rsid w:val="003B1CB8"/>
    <w:rPr>
      <w:rFonts w:ascii="Tahoma" w:hAnsi="Tahoma" w:cs="Tahoma"/>
      <w:sz w:val="16"/>
      <w:szCs w:val="16"/>
      <w:lang w:eastAsia="en-US"/>
    </w:rPr>
  </w:style>
  <w:style w:type="character" w:styleId="FollowedHyperlink">
    <w:name w:val="FollowedHyperlink"/>
    <w:basedOn w:val="DefaultParagraphFont"/>
    <w:uiPriority w:val="99"/>
    <w:semiHidden/>
    <w:unhideWhenUsed/>
    <w:rsid w:val="00722AA7"/>
    <w:rPr>
      <w:color w:val="800080" w:themeColor="followedHyperlink"/>
      <w:u w:val="single"/>
    </w:rPr>
  </w:style>
  <w:style w:type="paragraph" w:styleId="Revision">
    <w:name w:val="Revision"/>
    <w:hidden/>
    <w:uiPriority w:val="99"/>
    <w:semiHidden/>
    <w:rsid w:val="00BD0A5E"/>
    <w:rPr>
      <w:lang w:eastAsia="en-US"/>
    </w:rPr>
  </w:style>
  <w:style w:type="character" w:styleId="CommentReference">
    <w:name w:val="annotation reference"/>
    <w:basedOn w:val="DefaultParagraphFont"/>
    <w:uiPriority w:val="99"/>
    <w:semiHidden/>
    <w:unhideWhenUsed/>
    <w:rsid w:val="00137EEA"/>
    <w:rPr>
      <w:sz w:val="16"/>
      <w:szCs w:val="16"/>
    </w:rPr>
  </w:style>
  <w:style w:type="paragraph" w:styleId="CommentText">
    <w:name w:val="annotation text"/>
    <w:basedOn w:val="Normal"/>
    <w:link w:val="CommentTextChar"/>
    <w:uiPriority w:val="99"/>
    <w:semiHidden/>
    <w:unhideWhenUsed/>
    <w:rsid w:val="00137EEA"/>
    <w:rPr>
      <w:sz w:val="20"/>
      <w:szCs w:val="20"/>
    </w:rPr>
  </w:style>
  <w:style w:type="character" w:customStyle="1" w:styleId="CommentTextChar">
    <w:name w:val="Comment Text Char"/>
    <w:basedOn w:val="DefaultParagraphFont"/>
    <w:link w:val="CommentText"/>
    <w:uiPriority w:val="99"/>
    <w:semiHidden/>
    <w:rsid w:val="00137EEA"/>
    <w:rPr>
      <w:sz w:val="20"/>
      <w:szCs w:val="20"/>
      <w:lang w:eastAsia="en-US"/>
    </w:rPr>
  </w:style>
  <w:style w:type="paragraph" w:styleId="CommentSubject">
    <w:name w:val="annotation subject"/>
    <w:basedOn w:val="CommentText"/>
    <w:next w:val="CommentText"/>
    <w:link w:val="CommentSubjectChar"/>
    <w:uiPriority w:val="99"/>
    <w:semiHidden/>
    <w:unhideWhenUsed/>
    <w:rsid w:val="00137EEA"/>
    <w:rPr>
      <w:b/>
      <w:bCs/>
    </w:rPr>
  </w:style>
  <w:style w:type="character" w:customStyle="1" w:styleId="CommentSubjectChar">
    <w:name w:val="Comment Subject Char"/>
    <w:basedOn w:val="CommentTextChar"/>
    <w:link w:val="CommentSubject"/>
    <w:uiPriority w:val="99"/>
    <w:semiHidden/>
    <w:rsid w:val="00137EEA"/>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1369">
      <w:bodyDiv w:val="1"/>
      <w:marLeft w:val="0"/>
      <w:marRight w:val="0"/>
      <w:marTop w:val="0"/>
      <w:marBottom w:val="0"/>
      <w:divBdr>
        <w:top w:val="none" w:sz="0" w:space="0" w:color="auto"/>
        <w:left w:val="none" w:sz="0" w:space="0" w:color="auto"/>
        <w:bottom w:val="none" w:sz="0" w:space="0" w:color="auto"/>
        <w:right w:val="none" w:sz="0" w:space="0" w:color="auto"/>
      </w:divBdr>
    </w:div>
    <w:div w:id="34089378">
      <w:bodyDiv w:val="1"/>
      <w:marLeft w:val="0"/>
      <w:marRight w:val="0"/>
      <w:marTop w:val="0"/>
      <w:marBottom w:val="0"/>
      <w:divBdr>
        <w:top w:val="none" w:sz="0" w:space="0" w:color="auto"/>
        <w:left w:val="none" w:sz="0" w:space="0" w:color="auto"/>
        <w:bottom w:val="none" w:sz="0" w:space="0" w:color="auto"/>
        <w:right w:val="none" w:sz="0" w:space="0" w:color="auto"/>
      </w:divBdr>
    </w:div>
    <w:div w:id="149517205">
      <w:bodyDiv w:val="1"/>
      <w:marLeft w:val="0"/>
      <w:marRight w:val="0"/>
      <w:marTop w:val="0"/>
      <w:marBottom w:val="0"/>
      <w:divBdr>
        <w:top w:val="none" w:sz="0" w:space="0" w:color="auto"/>
        <w:left w:val="none" w:sz="0" w:space="0" w:color="auto"/>
        <w:bottom w:val="none" w:sz="0" w:space="0" w:color="auto"/>
        <w:right w:val="none" w:sz="0" w:space="0" w:color="auto"/>
      </w:divBdr>
    </w:div>
    <w:div w:id="214244510">
      <w:bodyDiv w:val="1"/>
      <w:marLeft w:val="0"/>
      <w:marRight w:val="0"/>
      <w:marTop w:val="0"/>
      <w:marBottom w:val="0"/>
      <w:divBdr>
        <w:top w:val="none" w:sz="0" w:space="0" w:color="auto"/>
        <w:left w:val="none" w:sz="0" w:space="0" w:color="auto"/>
        <w:bottom w:val="none" w:sz="0" w:space="0" w:color="auto"/>
        <w:right w:val="none" w:sz="0" w:space="0" w:color="auto"/>
      </w:divBdr>
    </w:div>
    <w:div w:id="223953080">
      <w:bodyDiv w:val="1"/>
      <w:marLeft w:val="0"/>
      <w:marRight w:val="0"/>
      <w:marTop w:val="0"/>
      <w:marBottom w:val="0"/>
      <w:divBdr>
        <w:top w:val="none" w:sz="0" w:space="0" w:color="auto"/>
        <w:left w:val="none" w:sz="0" w:space="0" w:color="auto"/>
        <w:bottom w:val="none" w:sz="0" w:space="0" w:color="auto"/>
        <w:right w:val="none" w:sz="0" w:space="0" w:color="auto"/>
      </w:divBdr>
    </w:div>
    <w:div w:id="252514357">
      <w:bodyDiv w:val="1"/>
      <w:marLeft w:val="0"/>
      <w:marRight w:val="0"/>
      <w:marTop w:val="0"/>
      <w:marBottom w:val="0"/>
      <w:divBdr>
        <w:top w:val="none" w:sz="0" w:space="0" w:color="auto"/>
        <w:left w:val="none" w:sz="0" w:space="0" w:color="auto"/>
        <w:bottom w:val="none" w:sz="0" w:space="0" w:color="auto"/>
        <w:right w:val="none" w:sz="0" w:space="0" w:color="auto"/>
      </w:divBdr>
    </w:div>
    <w:div w:id="270554137">
      <w:bodyDiv w:val="1"/>
      <w:marLeft w:val="0"/>
      <w:marRight w:val="0"/>
      <w:marTop w:val="0"/>
      <w:marBottom w:val="0"/>
      <w:divBdr>
        <w:top w:val="none" w:sz="0" w:space="0" w:color="auto"/>
        <w:left w:val="none" w:sz="0" w:space="0" w:color="auto"/>
        <w:bottom w:val="none" w:sz="0" w:space="0" w:color="auto"/>
        <w:right w:val="none" w:sz="0" w:space="0" w:color="auto"/>
      </w:divBdr>
    </w:div>
    <w:div w:id="393166099">
      <w:bodyDiv w:val="1"/>
      <w:marLeft w:val="0"/>
      <w:marRight w:val="0"/>
      <w:marTop w:val="0"/>
      <w:marBottom w:val="0"/>
      <w:divBdr>
        <w:top w:val="none" w:sz="0" w:space="0" w:color="auto"/>
        <w:left w:val="none" w:sz="0" w:space="0" w:color="auto"/>
        <w:bottom w:val="none" w:sz="0" w:space="0" w:color="auto"/>
        <w:right w:val="none" w:sz="0" w:space="0" w:color="auto"/>
      </w:divBdr>
    </w:div>
    <w:div w:id="473521733">
      <w:bodyDiv w:val="1"/>
      <w:marLeft w:val="0"/>
      <w:marRight w:val="0"/>
      <w:marTop w:val="0"/>
      <w:marBottom w:val="0"/>
      <w:divBdr>
        <w:top w:val="none" w:sz="0" w:space="0" w:color="auto"/>
        <w:left w:val="none" w:sz="0" w:space="0" w:color="auto"/>
        <w:bottom w:val="none" w:sz="0" w:space="0" w:color="auto"/>
        <w:right w:val="none" w:sz="0" w:space="0" w:color="auto"/>
      </w:divBdr>
    </w:div>
    <w:div w:id="504981172">
      <w:bodyDiv w:val="1"/>
      <w:marLeft w:val="0"/>
      <w:marRight w:val="0"/>
      <w:marTop w:val="0"/>
      <w:marBottom w:val="0"/>
      <w:divBdr>
        <w:top w:val="none" w:sz="0" w:space="0" w:color="auto"/>
        <w:left w:val="none" w:sz="0" w:space="0" w:color="auto"/>
        <w:bottom w:val="none" w:sz="0" w:space="0" w:color="auto"/>
        <w:right w:val="none" w:sz="0" w:space="0" w:color="auto"/>
      </w:divBdr>
    </w:div>
    <w:div w:id="509375696">
      <w:bodyDiv w:val="1"/>
      <w:marLeft w:val="0"/>
      <w:marRight w:val="0"/>
      <w:marTop w:val="0"/>
      <w:marBottom w:val="0"/>
      <w:divBdr>
        <w:top w:val="none" w:sz="0" w:space="0" w:color="auto"/>
        <w:left w:val="none" w:sz="0" w:space="0" w:color="auto"/>
        <w:bottom w:val="none" w:sz="0" w:space="0" w:color="auto"/>
        <w:right w:val="none" w:sz="0" w:space="0" w:color="auto"/>
      </w:divBdr>
    </w:div>
    <w:div w:id="582883689">
      <w:bodyDiv w:val="1"/>
      <w:marLeft w:val="0"/>
      <w:marRight w:val="0"/>
      <w:marTop w:val="0"/>
      <w:marBottom w:val="0"/>
      <w:divBdr>
        <w:top w:val="none" w:sz="0" w:space="0" w:color="auto"/>
        <w:left w:val="none" w:sz="0" w:space="0" w:color="auto"/>
        <w:bottom w:val="none" w:sz="0" w:space="0" w:color="auto"/>
        <w:right w:val="none" w:sz="0" w:space="0" w:color="auto"/>
      </w:divBdr>
    </w:div>
    <w:div w:id="644939847">
      <w:bodyDiv w:val="1"/>
      <w:marLeft w:val="0"/>
      <w:marRight w:val="0"/>
      <w:marTop w:val="0"/>
      <w:marBottom w:val="0"/>
      <w:divBdr>
        <w:top w:val="none" w:sz="0" w:space="0" w:color="auto"/>
        <w:left w:val="none" w:sz="0" w:space="0" w:color="auto"/>
        <w:bottom w:val="none" w:sz="0" w:space="0" w:color="auto"/>
        <w:right w:val="none" w:sz="0" w:space="0" w:color="auto"/>
      </w:divBdr>
    </w:div>
    <w:div w:id="672420343">
      <w:bodyDiv w:val="1"/>
      <w:marLeft w:val="0"/>
      <w:marRight w:val="0"/>
      <w:marTop w:val="0"/>
      <w:marBottom w:val="0"/>
      <w:divBdr>
        <w:top w:val="none" w:sz="0" w:space="0" w:color="auto"/>
        <w:left w:val="none" w:sz="0" w:space="0" w:color="auto"/>
        <w:bottom w:val="none" w:sz="0" w:space="0" w:color="auto"/>
        <w:right w:val="none" w:sz="0" w:space="0" w:color="auto"/>
      </w:divBdr>
    </w:div>
    <w:div w:id="718434272">
      <w:bodyDiv w:val="1"/>
      <w:marLeft w:val="0"/>
      <w:marRight w:val="0"/>
      <w:marTop w:val="0"/>
      <w:marBottom w:val="0"/>
      <w:divBdr>
        <w:top w:val="none" w:sz="0" w:space="0" w:color="auto"/>
        <w:left w:val="none" w:sz="0" w:space="0" w:color="auto"/>
        <w:bottom w:val="none" w:sz="0" w:space="0" w:color="auto"/>
        <w:right w:val="none" w:sz="0" w:space="0" w:color="auto"/>
      </w:divBdr>
    </w:div>
    <w:div w:id="980573052">
      <w:bodyDiv w:val="1"/>
      <w:marLeft w:val="0"/>
      <w:marRight w:val="0"/>
      <w:marTop w:val="0"/>
      <w:marBottom w:val="0"/>
      <w:divBdr>
        <w:top w:val="none" w:sz="0" w:space="0" w:color="auto"/>
        <w:left w:val="none" w:sz="0" w:space="0" w:color="auto"/>
        <w:bottom w:val="none" w:sz="0" w:space="0" w:color="auto"/>
        <w:right w:val="none" w:sz="0" w:space="0" w:color="auto"/>
      </w:divBdr>
    </w:div>
    <w:div w:id="1047874971">
      <w:bodyDiv w:val="1"/>
      <w:marLeft w:val="0"/>
      <w:marRight w:val="0"/>
      <w:marTop w:val="0"/>
      <w:marBottom w:val="0"/>
      <w:divBdr>
        <w:top w:val="none" w:sz="0" w:space="0" w:color="auto"/>
        <w:left w:val="none" w:sz="0" w:space="0" w:color="auto"/>
        <w:bottom w:val="none" w:sz="0" w:space="0" w:color="auto"/>
        <w:right w:val="none" w:sz="0" w:space="0" w:color="auto"/>
      </w:divBdr>
    </w:div>
    <w:div w:id="1068454087">
      <w:bodyDiv w:val="1"/>
      <w:marLeft w:val="0"/>
      <w:marRight w:val="0"/>
      <w:marTop w:val="0"/>
      <w:marBottom w:val="0"/>
      <w:divBdr>
        <w:top w:val="none" w:sz="0" w:space="0" w:color="auto"/>
        <w:left w:val="none" w:sz="0" w:space="0" w:color="auto"/>
        <w:bottom w:val="none" w:sz="0" w:space="0" w:color="auto"/>
        <w:right w:val="none" w:sz="0" w:space="0" w:color="auto"/>
      </w:divBdr>
    </w:div>
    <w:div w:id="1084299736">
      <w:bodyDiv w:val="1"/>
      <w:marLeft w:val="0"/>
      <w:marRight w:val="0"/>
      <w:marTop w:val="0"/>
      <w:marBottom w:val="0"/>
      <w:divBdr>
        <w:top w:val="none" w:sz="0" w:space="0" w:color="auto"/>
        <w:left w:val="none" w:sz="0" w:space="0" w:color="auto"/>
        <w:bottom w:val="none" w:sz="0" w:space="0" w:color="auto"/>
        <w:right w:val="none" w:sz="0" w:space="0" w:color="auto"/>
      </w:divBdr>
    </w:div>
    <w:div w:id="1236165374">
      <w:bodyDiv w:val="1"/>
      <w:marLeft w:val="0"/>
      <w:marRight w:val="0"/>
      <w:marTop w:val="0"/>
      <w:marBottom w:val="0"/>
      <w:divBdr>
        <w:top w:val="none" w:sz="0" w:space="0" w:color="auto"/>
        <w:left w:val="none" w:sz="0" w:space="0" w:color="auto"/>
        <w:bottom w:val="none" w:sz="0" w:space="0" w:color="auto"/>
        <w:right w:val="none" w:sz="0" w:space="0" w:color="auto"/>
      </w:divBdr>
    </w:div>
    <w:div w:id="1294945161">
      <w:bodyDiv w:val="1"/>
      <w:marLeft w:val="0"/>
      <w:marRight w:val="0"/>
      <w:marTop w:val="0"/>
      <w:marBottom w:val="0"/>
      <w:divBdr>
        <w:top w:val="none" w:sz="0" w:space="0" w:color="auto"/>
        <w:left w:val="none" w:sz="0" w:space="0" w:color="auto"/>
        <w:bottom w:val="none" w:sz="0" w:space="0" w:color="auto"/>
        <w:right w:val="none" w:sz="0" w:space="0" w:color="auto"/>
      </w:divBdr>
    </w:div>
    <w:div w:id="1413233808">
      <w:bodyDiv w:val="1"/>
      <w:marLeft w:val="0"/>
      <w:marRight w:val="0"/>
      <w:marTop w:val="0"/>
      <w:marBottom w:val="0"/>
      <w:divBdr>
        <w:top w:val="none" w:sz="0" w:space="0" w:color="auto"/>
        <w:left w:val="none" w:sz="0" w:space="0" w:color="auto"/>
        <w:bottom w:val="none" w:sz="0" w:space="0" w:color="auto"/>
        <w:right w:val="none" w:sz="0" w:space="0" w:color="auto"/>
      </w:divBdr>
    </w:div>
    <w:div w:id="1445147887">
      <w:bodyDiv w:val="1"/>
      <w:marLeft w:val="0"/>
      <w:marRight w:val="0"/>
      <w:marTop w:val="0"/>
      <w:marBottom w:val="0"/>
      <w:divBdr>
        <w:top w:val="none" w:sz="0" w:space="0" w:color="auto"/>
        <w:left w:val="none" w:sz="0" w:space="0" w:color="auto"/>
        <w:bottom w:val="none" w:sz="0" w:space="0" w:color="auto"/>
        <w:right w:val="none" w:sz="0" w:space="0" w:color="auto"/>
      </w:divBdr>
    </w:div>
    <w:div w:id="1491022301">
      <w:bodyDiv w:val="1"/>
      <w:marLeft w:val="0"/>
      <w:marRight w:val="0"/>
      <w:marTop w:val="0"/>
      <w:marBottom w:val="0"/>
      <w:divBdr>
        <w:top w:val="none" w:sz="0" w:space="0" w:color="auto"/>
        <w:left w:val="none" w:sz="0" w:space="0" w:color="auto"/>
        <w:bottom w:val="none" w:sz="0" w:space="0" w:color="auto"/>
        <w:right w:val="none" w:sz="0" w:space="0" w:color="auto"/>
      </w:divBdr>
    </w:div>
    <w:div w:id="1589122025">
      <w:bodyDiv w:val="1"/>
      <w:marLeft w:val="0"/>
      <w:marRight w:val="0"/>
      <w:marTop w:val="0"/>
      <w:marBottom w:val="0"/>
      <w:divBdr>
        <w:top w:val="none" w:sz="0" w:space="0" w:color="auto"/>
        <w:left w:val="none" w:sz="0" w:space="0" w:color="auto"/>
        <w:bottom w:val="none" w:sz="0" w:space="0" w:color="auto"/>
        <w:right w:val="none" w:sz="0" w:space="0" w:color="auto"/>
      </w:divBdr>
    </w:div>
    <w:div w:id="1623226447">
      <w:bodyDiv w:val="1"/>
      <w:marLeft w:val="0"/>
      <w:marRight w:val="0"/>
      <w:marTop w:val="0"/>
      <w:marBottom w:val="0"/>
      <w:divBdr>
        <w:top w:val="none" w:sz="0" w:space="0" w:color="auto"/>
        <w:left w:val="none" w:sz="0" w:space="0" w:color="auto"/>
        <w:bottom w:val="none" w:sz="0" w:space="0" w:color="auto"/>
        <w:right w:val="none" w:sz="0" w:space="0" w:color="auto"/>
      </w:divBdr>
    </w:div>
    <w:div w:id="1723285119">
      <w:bodyDiv w:val="1"/>
      <w:marLeft w:val="0"/>
      <w:marRight w:val="0"/>
      <w:marTop w:val="0"/>
      <w:marBottom w:val="0"/>
      <w:divBdr>
        <w:top w:val="none" w:sz="0" w:space="0" w:color="auto"/>
        <w:left w:val="none" w:sz="0" w:space="0" w:color="auto"/>
        <w:bottom w:val="none" w:sz="0" w:space="0" w:color="auto"/>
        <w:right w:val="none" w:sz="0" w:space="0" w:color="auto"/>
      </w:divBdr>
    </w:div>
    <w:div w:id="1727726205">
      <w:bodyDiv w:val="1"/>
      <w:marLeft w:val="0"/>
      <w:marRight w:val="0"/>
      <w:marTop w:val="0"/>
      <w:marBottom w:val="0"/>
      <w:divBdr>
        <w:top w:val="none" w:sz="0" w:space="0" w:color="auto"/>
        <w:left w:val="none" w:sz="0" w:space="0" w:color="auto"/>
        <w:bottom w:val="none" w:sz="0" w:space="0" w:color="auto"/>
        <w:right w:val="none" w:sz="0" w:space="0" w:color="auto"/>
      </w:divBdr>
    </w:div>
    <w:div w:id="1811097029">
      <w:bodyDiv w:val="1"/>
      <w:marLeft w:val="0"/>
      <w:marRight w:val="0"/>
      <w:marTop w:val="0"/>
      <w:marBottom w:val="0"/>
      <w:divBdr>
        <w:top w:val="none" w:sz="0" w:space="0" w:color="auto"/>
        <w:left w:val="none" w:sz="0" w:space="0" w:color="auto"/>
        <w:bottom w:val="none" w:sz="0" w:space="0" w:color="auto"/>
        <w:right w:val="none" w:sz="0" w:space="0" w:color="auto"/>
      </w:divBdr>
    </w:div>
    <w:div w:id="1837841483">
      <w:bodyDiv w:val="1"/>
      <w:marLeft w:val="0"/>
      <w:marRight w:val="0"/>
      <w:marTop w:val="0"/>
      <w:marBottom w:val="0"/>
      <w:divBdr>
        <w:top w:val="none" w:sz="0" w:space="0" w:color="auto"/>
        <w:left w:val="none" w:sz="0" w:space="0" w:color="auto"/>
        <w:bottom w:val="none" w:sz="0" w:space="0" w:color="auto"/>
        <w:right w:val="none" w:sz="0" w:space="0" w:color="auto"/>
      </w:divBdr>
    </w:div>
    <w:div w:id="1843886086">
      <w:bodyDiv w:val="1"/>
      <w:marLeft w:val="0"/>
      <w:marRight w:val="0"/>
      <w:marTop w:val="0"/>
      <w:marBottom w:val="0"/>
      <w:divBdr>
        <w:top w:val="none" w:sz="0" w:space="0" w:color="auto"/>
        <w:left w:val="none" w:sz="0" w:space="0" w:color="auto"/>
        <w:bottom w:val="none" w:sz="0" w:space="0" w:color="auto"/>
        <w:right w:val="none" w:sz="0" w:space="0" w:color="auto"/>
      </w:divBdr>
    </w:div>
    <w:div w:id="1911886467">
      <w:bodyDiv w:val="1"/>
      <w:marLeft w:val="0"/>
      <w:marRight w:val="0"/>
      <w:marTop w:val="0"/>
      <w:marBottom w:val="0"/>
      <w:divBdr>
        <w:top w:val="none" w:sz="0" w:space="0" w:color="auto"/>
        <w:left w:val="none" w:sz="0" w:space="0" w:color="auto"/>
        <w:bottom w:val="none" w:sz="0" w:space="0" w:color="auto"/>
        <w:right w:val="none" w:sz="0" w:space="0" w:color="auto"/>
      </w:divBdr>
    </w:div>
    <w:div w:id="1961839194">
      <w:bodyDiv w:val="1"/>
      <w:marLeft w:val="0"/>
      <w:marRight w:val="0"/>
      <w:marTop w:val="0"/>
      <w:marBottom w:val="0"/>
      <w:divBdr>
        <w:top w:val="none" w:sz="0" w:space="0" w:color="auto"/>
        <w:left w:val="none" w:sz="0" w:space="0" w:color="auto"/>
        <w:bottom w:val="none" w:sz="0" w:space="0" w:color="auto"/>
        <w:right w:val="none" w:sz="0" w:space="0" w:color="auto"/>
      </w:divBdr>
    </w:div>
    <w:div w:id="2009864988">
      <w:bodyDiv w:val="1"/>
      <w:marLeft w:val="0"/>
      <w:marRight w:val="0"/>
      <w:marTop w:val="0"/>
      <w:marBottom w:val="0"/>
      <w:divBdr>
        <w:top w:val="none" w:sz="0" w:space="0" w:color="auto"/>
        <w:left w:val="none" w:sz="0" w:space="0" w:color="auto"/>
        <w:bottom w:val="none" w:sz="0" w:space="0" w:color="auto"/>
        <w:right w:val="none" w:sz="0" w:space="0" w:color="auto"/>
      </w:divBdr>
    </w:div>
    <w:div w:id="2062242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DD825-98B2-4414-9B4A-98383EB07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1804</Words>
  <Characters>10288</Characters>
  <Application>Microsoft Office Word</Application>
  <DocSecurity>0</DocSecurity>
  <Lines>85</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11.11.11</Company>
  <LinksUpToDate>false</LinksUpToDate>
  <CharactersWithSpaces>12068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CEPR</dc:creator>
  <cp:lastModifiedBy>Owner2</cp:lastModifiedBy>
  <cp:revision>2</cp:revision>
  <cp:lastPrinted>2013-03-13T21:25:00Z</cp:lastPrinted>
  <dcterms:created xsi:type="dcterms:W3CDTF">2013-07-23T16:51:00Z</dcterms:created>
  <dcterms:modified xsi:type="dcterms:W3CDTF">2013-07-23T16:51:00Z</dcterms:modified>
</cp:coreProperties>
</file>